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6B" w:rsidRPr="00247DB8" w:rsidRDefault="00B70D29">
      <w:pPr>
        <w:rPr>
          <w:sz w:val="36"/>
          <w:szCs w:val="36"/>
          <w:lang w:val="en-US"/>
        </w:rPr>
      </w:pPr>
      <w:bookmarkStart w:id="0" w:name="_GoBack"/>
      <w:bookmarkEnd w:id="0"/>
      <w:r w:rsidRPr="00247DB8">
        <w:rPr>
          <w:sz w:val="36"/>
          <w:szCs w:val="36"/>
          <w:lang w:val="en-US"/>
        </w:rPr>
        <w:t>D</w:t>
      </w:r>
      <w:r w:rsidR="003D5B9C">
        <w:rPr>
          <w:sz w:val="36"/>
          <w:szCs w:val="36"/>
          <w:lang w:val="en-US"/>
        </w:rPr>
        <w:t xml:space="preserve">epartment of Primary Industries Parks Water and Environment Submission </w:t>
      </w:r>
      <w:r w:rsidRPr="00247DB8">
        <w:rPr>
          <w:sz w:val="36"/>
          <w:szCs w:val="36"/>
          <w:lang w:val="en-US"/>
        </w:rPr>
        <w:t xml:space="preserve">- Tasmanian Government </w:t>
      </w:r>
      <w:r w:rsidR="00785B04" w:rsidRPr="00247DB8">
        <w:rPr>
          <w:sz w:val="36"/>
          <w:szCs w:val="36"/>
          <w:lang w:val="en-US"/>
        </w:rPr>
        <w:t>Flood Review</w:t>
      </w:r>
    </w:p>
    <w:p w:rsidR="00B70D29" w:rsidRPr="00247DB8" w:rsidRDefault="00B70D29" w:rsidP="009834A3">
      <w:pPr>
        <w:rPr>
          <w:sz w:val="24"/>
          <w:szCs w:val="24"/>
        </w:rPr>
      </w:pPr>
    </w:p>
    <w:p w:rsidR="009834A3" w:rsidRDefault="00B70D29" w:rsidP="00CB5F5C">
      <w:pPr>
        <w:rPr>
          <w:b/>
          <w:sz w:val="24"/>
          <w:szCs w:val="24"/>
        </w:rPr>
      </w:pPr>
      <w:r w:rsidRPr="00247DB8">
        <w:rPr>
          <w:b/>
          <w:sz w:val="24"/>
          <w:szCs w:val="24"/>
        </w:rPr>
        <w:t>D</w:t>
      </w:r>
      <w:r w:rsidR="003D5B9C">
        <w:rPr>
          <w:b/>
          <w:sz w:val="24"/>
          <w:szCs w:val="24"/>
        </w:rPr>
        <w:t>epartment of Primary Industries Parks, Water and Environment (D</w:t>
      </w:r>
      <w:r w:rsidRPr="00247DB8">
        <w:rPr>
          <w:b/>
          <w:sz w:val="24"/>
          <w:szCs w:val="24"/>
        </w:rPr>
        <w:t>PIPWE</w:t>
      </w:r>
      <w:r w:rsidR="003D5B9C">
        <w:rPr>
          <w:b/>
          <w:sz w:val="24"/>
          <w:szCs w:val="24"/>
        </w:rPr>
        <w:t xml:space="preserve">) </w:t>
      </w:r>
      <w:r w:rsidR="009834A3" w:rsidRPr="00247DB8">
        <w:rPr>
          <w:b/>
          <w:sz w:val="24"/>
          <w:szCs w:val="24"/>
        </w:rPr>
        <w:t>role</w:t>
      </w:r>
      <w:r w:rsidR="00123791">
        <w:rPr>
          <w:b/>
          <w:sz w:val="24"/>
          <w:szCs w:val="24"/>
        </w:rPr>
        <w:t xml:space="preserve"> </w:t>
      </w:r>
      <w:r w:rsidR="004B3347">
        <w:rPr>
          <w:b/>
          <w:sz w:val="24"/>
          <w:szCs w:val="24"/>
        </w:rPr>
        <w:t>in formal structures</w:t>
      </w:r>
      <w:r w:rsidRPr="00247DB8">
        <w:rPr>
          <w:b/>
          <w:sz w:val="24"/>
          <w:szCs w:val="24"/>
        </w:rPr>
        <w:t>.</w:t>
      </w:r>
    </w:p>
    <w:p w:rsidR="004B3347" w:rsidRDefault="004B3347" w:rsidP="004B3347">
      <w:pPr>
        <w:spacing w:after="120"/>
        <w:jc w:val="both"/>
        <w:rPr>
          <w:sz w:val="24"/>
          <w:szCs w:val="24"/>
        </w:rPr>
      </w:pPr>
      <w:r w:rsidRPr="00247DB8">
        <w:rPr>
          <w:sz w:val="24"/>
          <w:szCs w:val="24"/>
        </w:rPr>
        <w:t xml:space="preserve">DPIPWE </w:t>
      </w:r>
      <w:r>
        <w:rPr>
          <w:sz w:val="24"/>
          <w:szCs w:val="24"/>
        </w:rPr>
        <w:t>staff</w:t>
      </w:r>
      <w:r w:rsidRPr="00247DB8">
        <w:rPr>
          <w:sz w:val="24"/>
          <w:szCs w:val="24"/>
        </w:rPr>
        <w:t xml:space="preserve"> were actively involved with a range of response </w:t>
      </w:r>
      <w:r>
        <w:rPr>
          <w:sz w:val="24"/>
          <w:szCs w:val="24"/>
        </w:rPr>
        <w:t xml:space="preserve">and recovery </w:t>
      </w:r>
      <w:r w:rsidRPr="00247DB8">
        <w:rPr>
          <w:sz w:val="24"/>
          <w:szCs w:val="24"/>
        </w:rPr>
        <w:t xml:space="preserve">organisations including the </w:t>
      </w:r>
      <w:r w:rsidRPr="00247DB8">
        <w:rPr>
          <w:sz w:val="24"/>
          <w:szCs w:val="24"/>
          <w:lang w:eastAsia="en-AU"/>
        </w:rPr>
        <w:t>Office of Security and Emergency Management (</w:t>
      </w:r>
      <w:r w:rsidRPr="00247DB8">
        <w:rPr>
          <w:sz w:val="24"/>
          <w:szCs w:val="24"/>
        </w:rPr>
        <w:t>OSEM)</w:t>
      </w:r>
      <w:r w:rsidRPr="00247DB8">
        <w:rPr>
          <w:sz w:val="24"/>
          <w:szCs w:val="24"/>
          <w:lang w:eastAsia="en-AU"/>
        </w:rPr>
        <w:t>,</w:t>
      </w:r>
      <w:r w:rsidRPr="00247DB8">
        <w:rPr>
          <w:sz w:val="24"/>
          <w:szCs w:val="24"/>
        </w:rPr>
        <w:t xml:space="preserve"> Tasmania Fire Service, Tasmania State Emergency Services and Tasmania Police</w:t>
      </w:r>
      <w:r>
        <w:rPr>
          <w:sz w:val="24"/>
          <w:szCs w:val="24"/>
        </w:rPr>
        <w:t>.</w:t>
      </w:r>
      <w:r w:rsidRPr="00247DB8">
        <w:rPr>
          <w:sz w:val="24"/>
          <w:szCs w:val="24"/>
        </w:rPr>
        <w:t xml:space="preserve"> </w:t>
      </w:r>
      <w:r>
        <w:rPr>
          <w:sz w:val="24"/>
          <w:szCs w:val="24"/>
        </w:rPr>
        <w:t>DPIPWE s</w:t>
      </w:r>
      <w:r w:rsidRPr="00247DB8">
        <w:rPr>
          <w:sz w:val="24"/>
          <w:szCs w:val="24"/>
        </w:rPr>
        <w:t>taff r</w:t>
      </w:r>
      <w:r>
        <w:rPr>
          <w:sz w:val="24"/>
          <w:szCs w:val="24"/>
        </w:rPr>
        <w:t xml:space="preserve">eturning from assisting </w:t>
      </w:r>
      <w:r w:rsidRPr="00247DB8">
        <w:rPr>
          <w:sz w:val="24"/>
          <w:szCs w:val="24"/>
        </w:rPr>
        <w:t xml:space="preserve">Tasmania Police </w:t>
      </w:r>
      <w:r>
        <w:rPr>
          <w:sz w:val="24"/>
          <w:szCs w:val="24"/>
        </w:rPr>
        <w:t xml:space="preserve">noted Tasmania Police  </w:t>
      </w:r>
      <w:r w:rsidRPr="00247DB8">
        <w:rPr>
          <w:sz w:val="24"/>
          <w:szCs w:val="24"/>
        </w:rPr>
        <w:t>had a well-pl</w:t>
      </w:r>
      <w:r>
        <w:rPr>
          <w:sz w:val="24"/>
          <w:szCs w:val="24"/>
        </w:rPr>
        <w:t>anned and implemented induction and</w:t>
      </w:r>
      <w:r w:rsidRPr="00247DB8">
        <w:rPr>
          <w:sz w:val="24"/>
          <w:szCs w:val="24"/>
        </w:rPr>
        <w:t xml:space="preserve"> supervisory program</w:t>
      </w:r>
      <w:r>
        <w:rPr>
          <w:sz w:val="24"/>
          <w:szCs w:val="24"/>
        </w:rPr>
        <w:t xml:space="preserve"> </w:t>
      </w:r>
      <w:r w:rsidRPr="00247DB8">
        <w:rPr>
          <w:sz w:val="24"/>
          <w:szCs w:val="24"/>
        </w:rPr>
        <w:t xml:space="preserve">and </w:t>
      </w:r>
      <w:r>
        <w:rPr>
          <w:sz w:val="24"/>
          <w:szCs w:val="24"/>
        </w:rPr>
        <w:t xml:space="preserve">DPIPWE staff </w:t>
      </w:r>
      <w:r w:rsidRPr="00247DB8">
        <w:rPr>
          <w:sz w:val="24"/>
          <w:szCs w:val="24"/>
        </w:rPr>
        <w:t xml:space="preserve">knew what </w:t>
      </w:r>
      <w:r>
        <w:rPr>
          <w:sz w:val="24"/>
          <w:szCs w:val="24"/>
        </w:rPr>
        <w:t xml:space="preserve">was </w:t>
      </w:r>
      <w:r w:rsidRPr="00247DB8">
        <w:rPr>
          <w:sz w:val="24"/>
          <w:szCs w:val="24"/>
        </w:rPr>
        <w:t>expected of them at all times.</w:t>
      </w:r>
    </w:p>
    <w:p w:rsidR="004B3347" w:rsidRPr="00247DB8" w:rsidRDefault="004B3347" w:rsidP="004B3347">
      <w:pPr>
        <w:spacing w:after="120"/>
        <w:jc w:val="both"/>
        <w:rPr>
          <w:sz w:val="24"/>
          <w:szCs w:val="24"/>
        </w:rPr>
      </w:pPr>
      <w:r>
        <w:rPr>
          <w:sz w:val="24"/>
          <w:szCs w:val="24"/>
        </w:rPr>
        <w:t xml:space="preserve">Thereafter staff were </w:t>
      </w:r>
      <w:r w:rsidR="00123791">
        <w:rPr>
          <w:sz w:val="24"/>
          <w:szCs w:val="24"/>
        </w:rPr>
        <w:t xml:space="preserve">seconded </w:t>
      </w:r>
      <w:r>
        <w:rPr>
          <w:sz w:val="24"/>
          <w:szCs w:val="24"/>
        </w:rPr>
        <w:t xml:space="preserve">of </w:t>
      </w:r>
      <w:r w:rsidRPr="00247DB8">
        <w:rPr>
          <w:sz w:val="24"/>
          <w:szCs w:val="24"/>
        </w:rPr>
        <w:t xml:space="preserve">the Flood Recovery Taskforce, the Flood Recovery Committee under the </w:t>
      </w:r>
      <w:r w:rsidRPr="00247DB8">
        <w:rPr>
          <w:i/>
          <w:sz w:val="24"/>
          <w:szCs w:val="24"/>
        </w:rPr>
        <w:t>Emergency Management Act 2006</w:t>
      </w:r>
      <w:r w:rsidRPr="00247DB8">
        <w:rPr>
          <w:sz w:val="24"/>
          <w:szCs w:val="24"/>
        </w:rPr>
        <w:t xml:space="preserve">, </w:t>
      </w:r>
      <w:r>
        <w:rPr>
          <w:sz w:val="24"/>
          <w:szCs w:val="24"/>
        </w:rPr>
        <w:t>and Regional Recovery Committees.</w:t>
      </w:r>
    </w:p>
    <w:p w:rsidR="00CB5F5C" w:rsidRDefault="00CB5F5C" w:rsidP="000B4039">
      <w:pPr>
        <w:spacing w:after="120"/>
        <w:jc w:val="both"/>
        <w:rPr>
          <w:b/>
          <w:sz w:val="24"/>
          <w:szCs w:val="24"/>
        </w:rPr>
      </w:pPr>
    </w:p>
    <w:p w:rsidR="004B3347" w:rsidRPr="00CB5F5C" w:rsidRDefault="004B3347" w:rsidP="000B4039">
      <w:pPr>
        <w:spacing w:after="120"/>
        <w:jc w:val="both"/>
        <w:rPr>
          <w:b/>
          <w:sz w:val="24"/>
          <w:szCs w:val="24"/>
        </w:rPr>
      </w:pPr>
      <w:r w:rsidRPr="00247DB8">
        <w:rPr>
          <w:b/>
          <w:sz w:val="24"/>
          <w:szCs w:val="24"/>
        </w:rPr>
        <w:t>D</w:t>
      </w:r>
      <w:r>
        <w:rPr>
          <w:b/>
          <w:sz w:val="24"/>
          <w:szCs w:val="24"/>
        </w:rPr>
        <w:t>epartment of Primary Industries Parks, Water and Environment (D</w:t>
      </w:r>
      <w:r w:rsidRPr="00247DB8">
        <w:rPr>
          <w:b/>
          <w:sz w:val="24"/>
          <w:szCs w:val="24"/>
        </w:rPr>
        <w:t>PIPWE</w:t>
      </w:r>
      <w:r>
        <w:rPr>
          <w:b/>
          <w:sz w:val="24"/>
          <w:szCs w:val="24"/>
        </w:rPr>
        <w:t xml:space="preserve">) </w:t>
      </w:r>
      <w:r w:rsidRPr="00247DB8">
        <w:rPr>
          <w:b/>
          <w:sz w:val="24"/>
          <w:szCs w:val="24"/>
        </w:rPr>
        <w:t>role</w:t>
      </w:r>
      <w:r>
        <w:rPr>
          <w:b/>
          <w:sz w:val="24"/>
          <w:szCs w:val="24"/>
        </w:rPr>
        <w:t>,</w:t>
      </w:r>
      <w:r w:rsidRPr="00247DB8">
        <w:rPr>
          <w:b/>
          <w:sz w:val="24"/>
          <w:szCs w:val="24"/>
        </w:rPr>
        <w:t xml:space="preserve"> response</w:t>
      </w:r>
      <w:r>
        <w:rPr>
          <w:b/>
          <w:sz w:val="24"/>
          <w:szCs w:val="24"/>
        </w:rPr>
        <w:t>s,</w:t>
      </w:r>
      <w:r w:rsidRPr="00247DB8">
        <w:rPr>
          <w:b/>
          <w:sz w:val="24"/>
          <w:szCs w:val="24"/>
        </w:rPr>
        <w:t xml:space="preserve"> actions, activities and ta</w:t>
      </w:r>
      <w:r>
        <w:rPr>
          <w:b/>
          <w:sz w:val="24"/>
          <w:szCs w:val="24"/>
        </w:rPr>
        <w:t>ken during the floods</w:t>
      </w:r>
    </w:p>
    <w:p w:rsidR="00E11CB9" w:rsidRPr="00247DB8" w:rsidRDefault="00247DB8" w:rsidP="000B4039">
      <w:pPr>
        <w:spacing w:after="120"/>
        <w:jc w:val="both"/>
        <w:rPr>
          <w:sz w:val="24"/>
          <w:szCs w:val="24"/>
        </w:rPr>
      </w:pPr>
      <w:r>
        <w:rPr>
          <w:sz w:val="24"/>
          <w:szCs w:val="24"/>
        </w:rPr>
        <w:t xml:space="preserve">DPIPWE </w:t>
      </w:r>
      <w:r w:rsidR="00723687">
        <w:rPr>
          <w:sz w:val="24"/>
          <w:szCs w:val="24"/>
        </w:rPr>
        <w:t>staff were involved in the June 2016 f</w:t>
      </w:r>
      <w:r>
        <w:rPr>
          <w:sz w:val="24"/>
          <w:szCs w:val="24"/>
        </w:rPr>
        <w:t xml:space="preserve">lood </w:t>
      </w:r>
      <w:r w:rsidR="00723687">
        <w:rPr>
          <w:sz w:val="24"/>
          <w:szCs w:val="24"/>
        </w:rPr>
        <w:t>e</w:t>
      </w:r>
      <w:r>
        <w:rPr>
          <w:sz w:val="24"/>
          <w:szCs w:val="24"/>
        </w:rPr>
        <w:t>vent</w:t>
      </w:r>
      <w:r w:rsidR="00D032C7" w:rsidRPr="00247DB8">
        <w:rPr>
          <w:sz w:val="24"/>
          <w:szCs w:val="24"/>
        </w:rPr>
        <w:t xml:space="preserve"> </w:t>
      </w:r>
      <w:r w:rsidR="00723687">
        <w:rPr>
          <w:sz w:val="24"/>
          <w:szCs w:val="24"/>
        </w:rPr>
        <w:t>response,</w:t>
      </w:r>
      <w:r w:rsidR="003D5B9C">
        <w:rPr>
          <w:sz w:val="24"/>
          <w:szCs w:val="24"/>
        </w:rPr>
        <w:t xml:space="preserve"> however DPIPWE’s role has primary been in supporting </w:t>
      </w:r>
      <w:r w:rsidR="00D032C7" w:rsidRPr="00247DB8">
        <w:rPr>
          <w:sz w:val="24"/>
          <w:szCs w:val="24"/>
        </w:rPr>
        <w:t xml:space="preserve">the ongoing recovery program </w:t>
      </w:r>
      <w:r w:rsidR="003D5B9C">
        <w:rPr>
          <w:sz w:val="24"/>
          <w:szCs w:val="24"/>
        </w:rPr>
        <w:t xml:space="preserve">of </w:t>
      </w:r>
      <w:r w:rsidR="00D032C7" w:rsidRPr="00247DB8">
        <w:rPr>
          <w:sz w:val="24"/>
          <w:szCs w:val="24"/>
        </w:rPr>
        <w:t>the Flood Recovery Taskforce</w:t>
      </w:r>
      <w:r w:rsidR="00C466EE" w:rsidRPr="00247DB8">
        <w:rPr>
          <w:sz w:val="24"/>
          <w:szCs w:val="24"/>
        </w:rPr>
        <w:t>.</w:t>
      </w:r>
      <w:r w:rsidR="00D032C7" w:rsidRPr="00247DB8">
        <w:rPr>
          <w:sz w:val="24"/>
          <w:szCs w:val="24"/>
        </w:rPr>
        <w:t xml:space="preserve"> </w:t>
      </w:r>
    </w:p>
    <w:p w:rsidR="008B03E5" w:rsidRPr="00247DB8" w:rsidRDefault="000B4039" w:rsidP="000B4039">
      <w:pPr>
        <w:spacing w:after="120"/>
        <w:jc w:val="both"/>
        <w:rPr>
          <w:sz w:val="24"/>
          <w:szCs w:val="24"/>
        </w:rPr>
      </w:pPr>
      <w:r w:rsidRPr="00247DB8">
        <w:rPr>
          <w:sz w:val="24"/>
          <w:szCs w:val="24"/>
        </w:rPr>
        <w:t xml:space="preserve">DPIPWE </w:t>
      </w:r>
      <w:r w:rsidR="008B03E5" w:rsidRPr="00247DB8">
        <w:rPr>
          <w:sz w:val="24"/>
          <w:szCs w:val="24"/>
        </w:rPr>
        <w:t xml:space="preserve">GIS specialists captured a wide range of data that </w:t>
      </w:r>
      <w:r w:rsidR="00AF522E">
        <w:rPr>
          <w:sz w:val="24"/>
          <w:szCs w:val="24"/>
        </w:rPr>
        <w:t xml:space="preserve">assisted in </w:t>
      </w:r>
      <w:r w:rsidR="008B03E5" w:rsidRPr="00247DB8">
        <w:rPr>
          <w:sz w:val="24"/>
          <w:szCs w:val="24"/>
        </w:rPr>
        <w:t>identify</w:t>
      </w:r>
      <w:r w:rsidR="00AF522E">
        <w:rPr>
          <w:sz w:val="24"/>
          <w:szCs w:val="24"/>
        </w:rPr>
        <w:t>ing</w:t>
      </w:r>
      <w:r w:rsidR="008B03E5" w:rsidRPr="00247DB8">
        <w:rPr>
          <w:sz w:val="24"/>
          <w:szCs w:val="24"/>
        </w:rPr>
        <w:t xml:space="preserve"> flood impacts </w:t>
      </w:r>
      <w:r w:rsidR="00723687">
        <w:rPr>
          <w:sz w:val="24"/>
          <w:szCs w:val="24"/>
        </w:rPr>
        <w:t xml:space="preserve">and </w:t>
      </w:r>
      <w:r w:rsidR="008B03E5" w:rsidRPr="00247DB8">
        <w:rPr>
          <w:sz w:val="24"/>
          <w:szCs w:val="24"/>
        </w:rPr>
        <w:t>clusters of affected sites, so appropriate responses could be considered</w:t>
      </w:r>
      <w:r w:rsidR="00AF522E">
        <w:rPr>
          <w:sz w:val="24"/>
          <w:szCs w:val="24"/>
        </w:rPr>
        <w:t>. This data</w:t>
      </w:r>
      <w:r w:rsidR="00C036A1">
        <w:rPr>
          <w:sz w:val="24"/>
          <w:szCs w:val="24"/>
        </w:rPr>
        <w:t xml:space="preserve"> </w:t>
      </w:r>
      <w:r w:rsidR="00F261FA">
        <w:rPr>
          <w:sz w:val="24"/>
          <w:szCs w:val="24"/>
        </w:rPr>
        <w:t xml:space="preserve">also </w:t>
      </w:r>
      <w:r w:rsidR="008B03E5" w:rsidRPr="00247DB8">
        <w:rPr>
          <w:sz w:val="24"/>
          <w:szCs w:val="24"/>
        </w:rPr>
        <w:t>assisted with calculations of economic impacts. </w:t>
      </w:r>
    </w:p>
    <w:p w:rsidR="008B03E5" w:rsidRPr="00247DB8" w:rsidRDefault="008B03E5" w:rsidP="000B4039">
      <w:pPr>
        <w:spacing w:after="120"/>
        <w:jc w:val="both"/>
        <w:rPr>
          <w:sz w:val="24"/>
          <w:szCs w:val="24"/>
        </w:rPr>
      </w:pPr>
      <w:r w:rsidRPr="00247DB8">
        <w:rPr>
          <w:sz w:val="24"/>
          <w:szCs w:val="24"/>
        </w:rPr>
        <w:t xml:space="preserve">Provision of </w:t>
      </w:r>
      <w:r w:rsidR="00723687">
        <w:rPr>
          <w:sz w:val="24"/>
          <w:szCs w:val="24"/>
        </w:rPr>
        <w:t xml:space="preserve">land </w:t>
      </w:r>
      <w:r w:rsidRPr="00247DB8">
        <w:rPr>
          <w:sz w:val="24"/>
          <w:szCs w:val="24"/>
        </w:rPr>
        <w:t xml:space="preserve">surveying </w:t>
      </w:r>
      <w:r w:rsidR="00723687">
        <w:rPr>
          <w:sz w:val="24"/>
          <w:szCs w:val="24"/>
        </w:rPr>
        <w:t xml:space="preserve">services </w:t>
      </w:r>
      <w:r w:rsidRPr="00247DB8">
        <w:rPr>
          <w:sz w:val="24"/>
          <w:szCs w:val="24"/>
        </w:rPr>
        <w:t xml:space="preserve">to establish accurate flood mapping over major river catchments </w:t>
      </w:r>
      <w:proofErr w:type="gramStart"/>
      <w:r w:rsidRPr="00247DB8">
        <w:rPr>
          <w:sz w:val="24"/>
          <w:szCs w:val="24"/>
        </w:rPr>
        <w:t>and</w:t>
      </w:r>
      <w:proofErr w:type="gramEnd"/>
      <w:r w:rsidRPr="00247DB8">
        <w:rPr>
          <w:sz w:val="24"/>
          <w:szCs w:val="24"/>
        </w:rPr>
        <w:t xml:space="preserve"> towns was one of DPIPWE’s important roles. The OSEM provided location information of required cross-sections in the form of ESRI Shapefiles that DPIPWE provided data for.  DPIPWE </w:t>
      </w:r>
      <w:r w:rsidR="00723687">
        <w:rPr>
          <w:sz w:val="24"/>
          <w:szCs w:val="24"/>
        </w:rPr>
        <w:t>s</w:t>
      </w:r>
      <w:r w:rsidRPr="00247DB8">
        <w:rPr>
          <w:sz w:val="24"/>
          <w:szCs w:val="24"/>
        </w:rPr>
        <w:t xml:space="preserve">urveyors were in many cases </w:t>
      </w:r>
      <w:r w:rsidR="00F76CF8">
        <w:rPr>
          <w:sz w:val="24"/>
          <w:szCs w:val="24"/>
        </w:rPr>
        <w:t>early</w:t>
      </w:r>
      <w:r w:rsidR="00F76CF8" w:rsidRPr="00247DB8">
        <w:rPr>
          <w:sz w:val="24"/>
          <w:szCs w:val="24"/>
        </w:rPr>
        <w:t xml:space="preserve"> </w:t>
      </w:r>
      <w:r w:rsidRPr="00247DB8">
        <w:rPr>
          <w:sz w:val="24"/>
          <w:szCs w:val="24"/>
        </w:rPr>
        <w:t>on the scene and reported flood-affected landowners were very cooperative</w:t>
      </w:r>
      <w:r w:rsidR="00723687">
        <w:rPr>
          <w:sz w:val="24"/>
          <w:szCs w:val="24"/>
        </w:rPr>
        <w:t>,</w:t>
      </w:r>
      <w:r w:rsidRPr="00247DB8">
        <w:rPr>
          <w:sz w:val="24"/>
          <w:szCs w:val="24"/>
        </w:rPr>
        <w:t xml:space="preserve"> indicat</w:t>
      </w:r>
      <w:r w:rsidR="00723687">
        <w:rPr>
          <w:sz w:val="24"/>
          <w:szCs w:val="24"/>
        </w:rPr>
        <w:t>ing</w:t>
      </w:r>
      <w:r w:rsidRPr="00247DB8">
        <w:rPr>
          <w:sz w:val="24"/>
          <w:szCs w:val="24"/>
        </w:rPr>
        <w:t xml:space="preserve"> maximum flood levels on buildings, or other areas on their properties such as fences, </w:t>
      </w:r>
      <w:r w:rsidRPr="00247DB8">
        <w:rPr>
          <w:sz w:val="24"/>
          <w:szCs w:val="24"/>
          <w:lang w:eastAsia="en-AU"/>
        </w:rPr>
        <w:t xml:space="preserve">debris lines </w:t>
      </w:r>
      <w:r w:rsidR="00723687">
        <w:rPr>
          <w:sz w:val="24"/>
          <w:szCs w:val="24"/>
          <w:lang w:eastAsia="en-AU"/>
        </w:rPr>
        <w:t>i</w:t>
      </w:r>
      <w:r w:rsidRPr="00247DB8">
        <w:rPr>
          <w:sz w:val="24"/>
          <w:szCs w:val="24"/>
          <w:lang w:eastAsia="en-AU"/>
        </w:rPr>
        <w:t>n paddocks, wash lines</w:t>
      </w:r>
      <w:r w:rsidR="00723687">
        <w:rPr>
          <w:sz w:val="24"/>
          <w:szCs w:val="24"/>
          <w:lang w:eastAsia="en-AU"/>
        </w:rPr>
        <w:t>,</w:t>
      </w:r>
      <w:r w:rsidRPr="00247DB8">
        <w:rPr>
          <w:sz w:val="24"/>
          <w:szCs w:val="24"/>
        </w:rPr>
        <w:t xml:space="preserve"> or in vegetation.</w:t>
      </w:r>
    </w:p>
    <w:p w:rsidR="008B03E5" w:rsidRPr="00247DB8" w:rsidRDefault="00F76CF8" w:rsidP="000B4039">
      <w:pPr>
        <w:spacing w:after="120"/>
        <w:jc w:val="both"/>
        <w:rPr>
          <w:sz w:val="24"/>
          <w:szCs w:val="24"/>
        </w:rPr>
      </w:pPr>
      <w:r>
        <w:rPr>
          <w:sz w:val="24"/>
          <w:szCs w:val="24"/>
        </w:rPr>
        <w:t xml:space="preserve">DPIPWE </w:t>
      </w:r>
      <w:r w:rsidR="008B03E5" w:rsidRPr="00247DB8">
        <w:rPr>
          <w:sz w:val="24"/>
          <w:szCs w:val="24"/>
        </w:rPr>
        <w:t xml:space="preserve">utilised Real Time Kinematic Satellite Navigation to enhance the precision of position data derived from orbiting satellites to increase the accuracy from metres to centimetres of flood levels and flood damage. In some areas no definitive evidence </w:t>
      </w:r>
      <w:r w:rsidR="00723687">
        <w:rPr>
          <w:sz w:val="24"/>
          <w:szCs w:val="24"/>
        </w:rPr>
        <w:t xml:space="preserve">of flood levels </w:t>
      </w:r>
      <w:r w:rsidR="00CB73C5">
        <w:rPr>
          <w:sz w:val="24"/>
          <w:szCs w:val="24"/>
        </w:rPr>
        <w:t xml:space="preserve">was </w:t>
      </w:r>
      <w:r w:rsidR="008B03E5" w:rsidRPr="00247DB8">
        <w:rPr>
          <w:sz w:val="24"/>
          <w:szCs w:val="24"/>
        </w:rPr>
        <w:t xml:space="preserve">available </w:t>
      </w:r>
      <w:r w:rsidR="00CB73C5">
        <w:rPr>
          <w:sz w:val="24"/>
          <w:szCs w:val="24"/>
        </w:rPr>
        <w:t xml:space="preserve">due to </w:t>
      </w:r>
      <w:r w:rsidR="00723687">
        <w:rPr>
          <w:sz w:val="24"/>
          <w:szCs w:val="24"/>
        </w:rPr>
        <w:t>the sudden flash flood nature of the event.</w:t>
      </w:r>
    </w:p>
    <w:p w:rsidR="004833DB" w:rsidRDefault="00F261FA" w:rsidP="00F261FA">
      <w:pPr>
        <w:jc w:val="both"/>
        <w:rPr>
          <w:sz w:val="24"/>
          <w:szCs w:val="24"/>
        </w:rPr>
      </w:pPr>
      <w:r w:rsidRPr="00247DB8">
        <w:rPr>
          <w:sz w:val="24"/>
          <w:szCs w:val="24"/>
        </w:rPr>
        <w:t xml:space="preserve">Biosecurity Tasmania </w:t>
      </w:r>
      <w:r w:rsidR="00775A0A">
        <w:rPr>
          <w:sz w:val="24"/>
          <w:szCs w:val="24"/>
        </w:rPr>
        <w:t xml:space="preserve">(BT) </w:t>
      </w:r>
      <w:r w:rsidRPr="00247DB8">
        <w:rPr>
          <w:sz w:val="24"/>
          <w:szCs w:val="24"/>
        </w:rPr>
        <w:t xml:space="preserve">was involved with early detection of systemic animal welfare issues and coordination of an appropriate response to those issues where required. </w:t>
      </w:r>
    </w:p>
    <w:p w:rsidR="00F261FA" w:rsidRPr="00247DB8" w:rsidRDefault="00F261FA" w:rsidP="00A31724">
      <w:pPr>
        <w:jc w:val="both"/>
        <w:rPr>
          <w:sz w:val="24"/>
          <w:szCs w:val="24"/>
        </w:rPr>
      </w:pPr>
      <w:r w:rsidRPr="00247DB8">
        <w:rPr>
          <w:sz w:val="24"/>
          <w:szCs w:val="24"/>
        </w:rPr>
        <w:t>EPA Tasmania</w:t>
      </w:r>
      <w:r w:rsidR="00730CB5">
        <w:rPr>
          <w:sz w:val="24"/>
          <w:szCs w:val="24"/>
        </w:rPr>
        <w:t xml:space="preserve"> </w:t>
      </w:r>
      <w:r w:rsidR="009F730D">
        <w:rPr>
          <w:sz w:val="24"/>
          <w:szCs w:val="24"/>
        </w:rPr>
        <w:t>(DPIPWE staff)</w:t>
      </w:r>
      <w:r w:rsidRPr="00247DB8">
        <w:rPr>
          <w:sz w:val="24"/>
          <w:szCs w:val="24"/>
        </w:rPr>
        <w:t xml:space="preserve"> provided a livestock carcasses </w:t>
      </w:r>
      <w:r>
        <w:rPr>
          <w:sz w:val="24"/>
          <w:szCs w:val="24"/>
        </w:rPr>
        <w:t xml:space="preserve">recovery program </w:t>
      </w:r>
      <w:r w:rsidRPr="00247DB8">
        <w:rPr>
          <w:sz w:val="24"/>
          <w:szCs w:val="24"/>
        </w:rPr>
        <w:t>in th</w:t>
      </w:r>
      <w:r>
        <w:rPr>
          <w:sz w:val="24"/>
          <w:szCs w:val="24"/>
        </w:rPr>
        <w:t>e Mersey and the Ouse a</w:t>
      </w:r>
      <w:r w:rsidRPr="00247DB8">
        <w:rPr>
          <w:sz w:val="24"/>
          <w:szCs w:val="24"/>
        </w:rPr>
        <w:t>rea</w:t>
      </w:r>
      <w:r>
        <w:rPr>
          <w:sz w:val="24"/>
          <w:szCs w:val="24"/>
        </w:rPr>
        <w:t>s</w:t>
      </w:r>
      <w:r w:rsidRPr="00247DB8">
        <w:rPr>
          <w:sz w:val="24"/>
          <w:szCs w:val="24"/>
        </w:rPr>
        <w:t xml:space="preserve">. This function had not been performed by the Government </w:t>
      </w:r>
      <w:r w:rsidR="00723687">
        <w:rPr>
          <w:sz w:val="24"/>
          <w:szCs w:val="24"/>
        </w:rPr>
        <w:t>during</w:t>
      </w:r>
      <w:r w:rsidRPr="00247DB8">
        <w:rPr>
          <w:sz w:val="24"/>
          <w:szCs w:val="24"/>
        </w:rPr>
        <w:t xml:space="preserve"> previous floods </w:t>
      </w:r>
      <w:r w:rsidR="00F76CF8">
        <w:rPr>
          <w:sz w:val="24"/>
          <w:szCs w:val="24"/>
        </w:rPr>
        <w:t xml:space="preserve">thus </w:t>
      </w:r>
      <w:r w:rsidRPr="00247DB8">
        <w:rPr>
          <w:sz w:val="24"/>
          <w:szCs w:val="24"/>
        </w:rPr>
        <w:t xml:space="preserve">there </w:t>
      </w:r>
      <w:r w:rsidR="00723687">
        <w:rPr>
          <w:sz w:val="24"/>
          <w:szCs w:val="24"/>
        </w:rPr>
        <w:t>was</w:t>
      </w:r>
      <w:r w:rsidRPr="00247DB8">
        <w:rPr>
          <w:sz w:val="24"/>
          <w:szCs w:val="24"/>
        </w:rPr>
        <w:t xml:space="preserve"> no prior experience to drawn on. EPA Tasmania staff used their various levels of incident response training to establish an effective Incident Management Team, built on the </w:t>
      </w:r>
      <w:r w:rsidRPr="00F261FA">
        <w:rPr>
          <w:sz w:val="24"/>
          <w:szCs w:val="24"/>
        </w:rPr>
        <w:t>Australasian Inter-Service Incident Management System (AIIMS)</w:t>
      </w:r>
      <w:r w:rsidRPr="00247DB8">
        <w:rPr>
          <w:sz w:val="24"/>
          <w:szCs w:val="24"/>
        </w:rPr>
        <w:t xml:space="preserve">. </w:t>
      </w:r>
      <w:r w:rsidR="00723687">
        <w:rPr>
          <w:sz w:val="24"/>
          <w:szCs w:val="24"/>
        </w:rPr>
        <w:t xml:space="preserve"> </w:t>
      </w:r>
      <w:r w:rsidRPr="00247DB8">
        <w:rPr>
          <w:sz w:val="24"/>
          <w:szCs w:val="24"/>
        </w:rPr>
        <w:t xml:space="preserve">The carcass response ran over about three weeks, peaking in activity over day four to fourteen. The challenges included: </w:t>
      </w:r>
      <w:r w:rsidR="000A1FC9">
        <w:rPr>
          <w:sz w:val="24"/>
          <w:szCs w:val="24"/>
        </w:rPr>
        <w:t xml:space="preserve">access to </w:t>
      </w:r>
      <w:r w:rsidRPr="00247DB8">
        <w:rPr>
          <w:sz w:val="24"/>
          <w:szCs w:val="24"/>
        </w:rPr>
        <w:lastRenderedPageBreak/>
        <w:t>resources</w:t>
      </w:r>
      <w:r w:rsidR="000A1FC9">
        <w:rPr>
          <w:sz w:val="24"/>
          <w:szCs w:val="24"/>
        </w:rPr>
        <w:t xml:space="preserve"> given competing demands for </w:t>
      </w:r>
      <w:r w:rsidRPr="00247DB8">
        <w:rPr>
          <w:sz w:val="24"/>
          <w:szCs w:val="24"/>
        </w:rPr>
        <w:t xml:space="preserve">contractors; </w:t>
      </w:r>
      <w:r w:rsidR="00F76CF8">
        <w:rPr>
          <w:sz w:val="24"/>
          <w:szCs w:val="24"/>
        </w:rPr>
        <w:t xml:space="preserve">accessing </w:t>
      </w:r>
      <w:r w:rsidRPr="00247DB8">
        <w:rPr>
          <w:sz w:val="24"/>
          <w:szCs w:val="24"/>
        </w:rPr>
        <w:t>wet and still flooded properties to remove the carcasses</w:t>
      </w:r>
      <w:r w:rsidR="00F76CF8">
        <w:rPr>
          <w:sz w:val="24"/>
          <w:szCs w:val="24"/>
        </w:rPr>
        <w:t>;</w:t>
      </w:r>
      <w:r w:rsidRPr="00247DB8">
        <w:rPr>
          <w:sz w:val="24"/>
          <w:szCs w:val="24"/>
        </w:rPr>
        <w:t xml:space="preserve"> and a requirement to burn the carcasses on site. In the northern rivers area 181 cattle carcasses were disposed of and in the Ouse area 150 sheep carcasses were disposed</w:t>
      </w:r>
      <w:r w:rsidR="00775A0A">
        <w:rPr>
          <w:sz w:val="24"/>
          <w:szCs w:val="24"/>
        </w:rPr>
        <w:t xml:space="preserve"> of</w:t>
      </w:r>
      <w:r w:rsidR="00723687">
        <w:rPr>
          <w:sz w:val="24"/>
          <w:szCs w:val="24"/>
        </w:rPr>
        <w:t>.</w:t>
      </w:r>
    </w:p>
    <w:p w:rsidR="00F76CF8" w:rsidRPr="00247DB8" w:rsidRDefault="00F76CF8" w:rsidP="00F76CF8">
      <w:pPr>
        <w:spacing w:after="120"/>
        <w:jc w:val="both"/>
        <w:rPr>
          <w:sz w:val="24"/>
          <w:szCs w:val="24"/>
        </w:rPr>
      </w:pPr>
      <w:r w:rsidRPr="00247DB8">
        <w:rPr>
          <w:sz w:val="24"/>
          <w:szCs w:val="24"/>
        </w:rPr>
        <w:t xml:space="preserve">DPIPWE </w:t>
      </w:r>
      <w:r>
        <w:rPr>
          <w:sz w:val="24"/>
          <w:szCs w:val="24"/>
        </w:rPr>
        <w:t xml:space="preserve">also </w:t>
      </w:r>
      <w:r w:rsidRPr="00247DB8">
        <w:rPr>
          <w:sz w:val="24"/>
          <w:szCs w:val="24"/>
          <w:lang w:eastAsia="en-AU"/>
        </w:rPr>
        <w:t>develop</w:t>
      </w:r>
      <w:r>
        <w:rPr>
          <w:sz w:val="24"/>
          <w:szCs w:val="24"/>
          <w:lang w:eastAsia="en-AU"/>
        </w:rPr>
        <w:t xml:space="preserve">ed </w:t>
      </w:r>
      <w:r w:rsidRPr="00247DB8">
        <w:rPr>
          <w:sz w:val="24"/>
          <w:szCs w:val="24"/>
          <w:lang w:eastAsia="en-AU"/>
        </w:rPr>
        <w:t xml:space="preserve">a </w:t>
      </w:r>
      <w:hyperlink r:id="rId8" w:anchor="AnimalWelfareDuringFloods" w:history="1">
        <w:r w:rsidRPr="00F76CF8">
          <w:rPr>
            <w:sz w:val="24"/>
            <w:szCs w:val="24"/>
            <w:lang w:eastAsia="en-AU"/>
          </w:rPr>
          <w:t>web page</w:t>
        </w:r>
      </w:hyperlink>
      <w:r w:rsidRPr="00247DB8">
        <w:rPr>
          <w:sz w:val="24"/>
          <w:szCs w:val="24"/>
          <w:lang w:eastAsia="en-AU"/>
        </w:rPr>
        <w:t xml:space="preserve"> that provided information for the community about a wide range of flood related issues or concerns. The web page had a number of hotlines and fact sheets providing fast information and access to a number of services</w:t>
      </w:r>
      <w:r w:rsidRPr="00247DB8">
        <w:rPr>
          <w:sz w:val="24"/>
          <w:szCs w:val="24"/>
        </w:rPr>
        <w:t>.</w:t>
      </w:r>
    </w:p>
    <w:p w:rsidR="00CA4DAD" w:rsidRPr="00247DB8" w:rsidRDefault="00CA4DAD" w:rsidP="00087132">
      <w:pPr>
        <w:spacing w:after="120"/>
        <w:rPr>
          <w:color w:val="2E74B5" w:themeColor="accent1" w:themeShade="BF"/>
          <w:sz w:val="24"/>
          <w:szCs w:val="24"/>
          <w:lang w:eastAsia="en-AU"/>
        </w:rPr>
      </w:pPr>
    </w:p>
    <w:p w:rsidR="009834A3" w:rsidRDefault="00B70D29" w:rsidP="007B6C68">
      <w:pPr>
        <w:spacing w:after="120"/>
        <w:rPr>
          <w:b/>
          <w:sz w:val="24"/>
          <w:szCs w:val="24"/>
        </w:rPr>
      </w:pPr>
      <w:r w:rsidRPr="00247DB8">
        <w:rPr>
          <w:b/>
          <w:sz w:val="24"/>
          <w:szCs w:val="24"/>
        </w:rPr>
        <w:t>R</w:t>
      </w:r>
      <w:r w:rsidR="009834A3" w:rsidRPr="00247DB8">
        <w:rPr>
          <w:b/>
          <w:sz w:val="24"/>
          <w:szCs w:val="24"/>
        </w:rPr>
        <w:t>ecovery actions, activities and tasks undertaken by DPIPWE.</w:t>
      </w:r>
    </w:p>
    <w:p w:rsidR="00CB5F5C" w:rsidRPr="00247DB8" w:rsidRDefault="00CB5F5C" w:rsidP="007B6C68">
      <w:pPr>
        <w:spacing w:after="120"/>
        <w:rPr>
          <w:b/>
          <w:sz w:val="24"/>
          <w:szCs w:val="24"/>
        </w:rPr>
      </w:pPr>
    </w:p>
    <w:p w:rsidR="004B3347" w:rsidRDefault="004B3347" w:rsidP="00A31724">
      <w:pPr>
        <w:pStyle w:val="ListParagraph"/>
        <w:numPr>
          <w:ilvl w:val="0"/>
          <w:numId w:val="16"/>
        </w:numPr>
        <w:spacing w:after="120"/>
        <w:ind w:left="851" w:hanging="851"/>
        <w:jc w:val="both"/>
        <w:rPr>
          <w:sz w:val="24"/>
          <w:szCs w:val="24"/>
        </w:rPr>
      </w:pPr>
      <w:r>
        <w:rPr>
          <w:sz w:val="24"/>
          <w:szCs w:val="24"/>
        </w:rPr>
        <w:t>Transition to recovery</w:t>
      </w:r>
    </w:p>
    <w:p w:rsidR="00B41E55" w:rsidRDefault="00F261FA" w:rsidP="004B3347">
      <w:pPr>
        <w:spacing w:after="120"/>
        <w:jc w:val="both"/>
        <w:rPr>
          <w:sz w:val="24"/>
          <w:szCs w:val="24"/>
        </w:rPr>
      </w:pPr>
      <w:r w:rsidRPr="00A31724">
        <w:rPr>
          <w:sz w:val="24"/>
          <w:szCs w:val="24"/>
        </w:rPr>
        <w:t>T</w:t>
      </w:r>
      <w:r w:rsidR="00B41E55" w:rsidRPr="00A31724">
        <w:rPr>
          <w:sz w:val="24"/>
          <w:szCs w:val="24"/>
        </w:rPr>
        <w:t xml:space="preserve">he floods provided a particular challenge as transition into recovery in some rural areas occurred several weeks after the initial event. Many people could not move onto the land to </w:t>
      </w:r>
      <w:r w:rsidR="001D0941" w:rsidRPr="00A31724">
        <w:rPr>
          <w:sz w:val="24"/>
          <w:szCs w:val="24"/>
        </w:rPr>
        <w:t xml:space="preserve">undertake recovery actions </w:t>
      </w:r>
      <w:r w:rsidR="00B41E55" w:rsidRPr="00A31724">
        <w:rPr>
          <w:sz w:val="24"/>
          <w:szCs w:val="24"/>
        </w:rPr>
        <w:t>because of high water levels</w:t>
      </w:r>
      <w:r w:rsidR="001D0941" w:rsidRPr="00A31724">
        <w:rPr>
          <w:sz w:val="24"/>
          <w:szCs w:val="24"/>
        </w:rPr>
        <w:t>, damaged tracks</w:t>
      </w:r>
      <w:r w:rsidR="001E013E" w:rsidRPr="00A31724">
        <w:rPr>
          <w:sz w:val="24"/>
          <w:szCs w:val="24"/>
        </w:rPr>
        <w:t>, roads and bridges</w:t>
      </w:r>
      <w:r w:rsidR="001D0941" w:rsidRPr="00A31724">
        <w:rPr>
          <w:sz w:val="24"/>
          <w:szCs w:val="24"/>
        </w:rPr>
        <w:t>,</w:t>
      </w:r>
      <w:r w:rsidR="001E013E" w:rsidRPr="00A31724">
        <w:rPr>
          <w:sz w:val="24"/>
          <w:szCs w:val="24"/>
        </w:rPr>
        <w:t xml:space="preserve"> and</w:t>
      </w:r>
      <w:r w:rsidR="001D0941" w:rsidRPr="00A31724">
        <w:rPr>
          <w:sz w:val="24"/>
          <w:szCs w:val="24"/>
        </w:rPr>
        <w:t xml:space="preserve"> waterlogged and boggy paddocks. </w:t>
      </w:r>
      <w:r w:rsidR="00775A0A" w:rsidRPr="00A31724">
        <w:rPr>
          <w:sz w:val="24"/>
          <w:szCs w:val="24"/>
        </w:rPr>
        <w:t>DPIPWE s</w:t>
      </w:r>
      <w:r w:rsidR="001E013E" w:rsidRPr="00A31724">
        <w:rPr>
          <w:sz w:val="24"/>
          <w:szCs w:val="24"/>
        </w:rPr>
        <w:t>taff noted that this is a different situation compared to the recent fires they had been involved in</w:t>
      </w:r>
      <w:r w:rsidR="00B41E55" w:rsidRPr="00A31724">
        <w:rPr>
          <w:sz w:val="24"/>
          <w:szCs w:val="24"/>
        </w:rPr>
        <w:t xml:space="preserve">, where the impacts are relatively immediate and </w:t>
      </w:r>
      <w:r w:rsidR="00775A0A" w:rsidRPr="00A31724">
        <w:rPr>
          <w:sz w:val="24"/>
          <w:szCs w:val="24"/>
        </w:rPr>
        <w:t xml:space="preserve">can </w:t>
      </w:r>
      <w:r w:rsidR="001E013E" w:rsidRPr="00A31724">
        <w:rPr>
          <w:sz w:val="24"/>
          <w:szCs w:val="24"/>
        </w:rPr>
        <w:t xml:space="preserve">generally </w:t>
      </w:r>
      <w:r w:rsidR="00B41E55" w:rsidRPr="00A31724">
        <w:rPr>
          <w:sz w:val="24"/>
          <w:szCs w:val="24"/>
        </w:rPr>
        <w:t xml:space="preserve">be dealt with </w:t>
      </w:r>
      <w:r w:rsidR="001E013E" w:rsidRPr="00A31724">
        <w:rPr>
          <w:sz w:val="24"/>
          <w:szCs w:val="24"/>
        </w:rPr>
        <w:t xml:space="preserve">in a short time </w:t>
      </w:r>
      <w:r w:rsidR="00B41E55" w:rsidRPr="00A31724">
        <w:rPr>
          <w:sz w:val="24"/>
          <w:szCs w:val="24"/>
        </w:rPr>
        <w:t xml:space="preserve">after </w:t>
      </w:r>
      <w:r w:rsidR="00775A0A" w:rsidRPr="00A31724">
        <w:rPr>
          <w:sz w:val="24"/>
          <w:szCs w:val="24"/>
        </w:rPr>
        <w:t xml:space="preserve">a </w:t>
      </w:r>
      <w:r w:rsidR="00B41E55" w:rsidRPr="00A31724">
        <w:rPr>
          <w:sz w:val="24"/>
          <w:szCs w:val="24"/>
        </w:rPr>
        <w:t xml:space="preserve">fire has </w:t>
      </w:r>
      <w:r w:rsidR="00775A0A" w:rsidRPr="00A31724">
        <w:rPr>
          <w:sz w:val="24"/>
          <w:szCs w:val="24"/>
        </w:rPr>
        <w:t>been extinguished</w:t>
      </w:r>
      <w:r w:rsidR="00B41E55" w:rsidRPr="00A31724">
        <w:rPr>
          <w:sz w:val="24"/>
          <w:szCs w:val="24"/>
        </w:rPr>
        <w:t>.</w:t>
      </w:r>
    </w:p>
    <w:p w:rsidR="004833DB" w:rsidRPr="00247DB8" w:rsidRDefault="004833DB" w:rsidP="004833DB">
      <w:pPr>
        <w:spacing w:after="120"/>
        <w:jc w:val="both"/>
        <w:rPr>
          <w:sz w:val="24"/>
          <w:szCs w:val="24"/>
        </w:rPr>
      </w:pPr>
      <w:r w:rsidRPr="00247DB8">
        <w:rPr>
          <w:sz w:val="24"/>
          <w:szCs w:val="24"/>
        </w:rPr>
        <w:t xml:space="preserve">A common situation noted by Divisions within DPIPWE was that the June </w:t>
      </w:r>
      <w:r>
        <w:rPr>
          <w:sz w:val="24"/>
          <w:szCs w:val="24"/>
        </w:rPr>
        <w:t>floods</w:t>
      </w:r>
      <w:r w:rsidRPr="00247DB8">
        <w:rPr>
          <w:sz w:val="24"/>
          <w:szCs w:val="24"/>
        </w:rPr>
        <w:t xml:space="preserve"> created a significant draw on resources because of </w:t>
      </w:r>
      <w:r>
        <w:rPr>
          <w:sz w:val="24"/>
          <w:szCs w:val="24"/>
        </w:rPr>
        <w:t>the</w:t>
      </w:r>
      <w:r w:rsidRPr="00247DB8">
        <w:rPr>
          <w:sz w:val="24"/>
          <w:szCs w:val="24"/>
        </w:rPr>
        <w:t xml:space="preserve"> </w:t>
      </w:r>
      <w:r>
        <w:rPr>
          <w:sz w:val="24"/>
          <w:szCs w:val="24"/>
        </w:rPr>
        <w:t>unexpected</w:t>
      </w:r>
      <w:r w:rsidRPr="00247DB8">
        <w:rPr>
          <w:sz w:val="24"/>
          <w:szCs w:val="24"/>
        </w:rPr>
        <w:t xml:space="preserve"> nature </w:t>
      </w:r>
      <w:r>
        <w:rPr>
          <w:sz w:val="24"/>
          <w:szCs w:val="24"/>
        </w:rPr>
        <w:t xml:space="preserve">of the event </w:t>
      </w:r>
      <w:r w:rsidRPr="00247DB8">
        <w:rPr>
          <w:sz w:val="24"/>
          <w:szCs w:val="24"/>
        </w:rPr>
        <w:t xml:space="preserve">and because the response required evolved as the scale of the </w:t>
      </w:r>
      <w:r w:rsidR="000A1FC9">
        <w:rPr>
          <w:sz w:val="24"/>
          <w:szCs w:val="24"/>
        </w:rPr>
        <w:t xml:space="preserve">event </w:t>
      </w:r>
      <w:r w:rsidRPr="00247DB8">
        <w:rPr>
          <w:sz w:val="24"/>
          <w:szCs w:val="24"/>
        </w:rPr>
        <w:t>unfolded. </w:t>
      </w:r>
      <w:r>
        <w:rPr>
          <w:sz w:val="24"/>
          <w:szCs w:val="24"/>
        </w:rPr>
        <w:t xml:space="preserve"> </w:t>
      </w:r>
    </w:p>
    <w:p w:rsidR="004B3347" w:rsidRDefault="004B3347" w:rsidP="00A31724">
      <w:pPr>
        <w:pStyle w:val="ListParagraph"/>
        <w:numPr>
          <w:ilvl w:val="0"/>
          <w:numId w:val="16"/>
        </w:numPr>
        <w:spacing w:after="120"/>
        <w:ind w:left="851" w:hanging="851"/>
        <w:jc w:val="both"/>
        <w:rPr>
          <w:sz w:val="24"/>
          <w:szCs w:val="24"/>
        </w:rPr>
      </w:pPr>
      <w:r>
        <w:rPr>
          <w:sz w:val="24"/>
          <w:szCs w:val="24"/>
        </w:rPr>
        <w:t>Analysis of impacts</w:t>
      </w:r>
    </w:p>
    <w:p w:rsidR="00F76CF8" w:rsidRPr="00F76CF8" w:rsidRDefault="00F76CF8" w:rsidP="00F76CF8">
      <w:pPr>
        <w:spacing w:after="120"/>
        <w:jc w:val="both"/>
        <w:rPr>
          <w:sz w:val="24"/>
          <w:szCs w:val="24"/>
        </w:rPr>
      </w:pPr>
      <w:r w:rsidRPr="00F76CF8">
        <w:rPr>
          <w:sz w:val="24"/>
          <w:szCs w:val="24"/>
        </w:rPr>
        <w:t>The Emergency Services GIS Section coordinated and undertook the development of a number of field and desktop based collection projects to support various sectors in the collection of Detailed Damage Assessment (DDA) data and other flood related data such as debris and dead livestock locations. Much of the data collected using these field and desktop based collection projects underpinned the development of the National Disaster Relief and Recover Arrangements (NDRRA) submissions.</w:t>
      </w:r>
    </w:p>
    <w:p w:rsidR="00F76CF8" w:rsidRPr="00F76CF8" w:rsidRDefault="00F76CF8" w:rsidP="00F76CF8">
      <w:pPr>
        <w:spacing w:after="120"/>
        <w:jc w:val="both"/>
        <w:rPr>
          <w:sz w:val="24"/>
          <w:szCs w:val="24"/>
        </w:rPr>
      </w:pPr>
      <w:r w:rsidRPr="00F76CF8">
        <w:rPr>
          <w:sz w:val="24"/>
          <w:szCs w:val="24"/>
        </w:rPr>
        <w:t>DPIPWE provided technical support for the assessment of flood impacts on river systems; including property based impact assessments on private land and provided or facilitated specialist ecological, geomorphological, geotechnical expertise to DPIPWE staff and external clients in relation to specific sites and impact.</w:t>
      </w:r>
    </w:p>
    <w:p w:rsidR="004B3347" w:rsidRPr="004B3347" w:rsidRDefault="004B3347" w:rsidP="004B3347">
      <w:pPr>
        <w:spacing w:after="120"/>
        <w:jc w:val="both"/>
        <w:rPr>
          <w:sz w:val="24"/>
          <w:szCs w:val="24"/>
        </w:rPr>
      </w:pPr>
      <w:r w:rsidRPr="004B3347">
        <w:rPr>
          <w:sz w:val="24"/>
          <w:szCs w:val="24"/>
        </w:rPr>
        <w:t xml:space="preserve">The Natural and Cultural Heritage Division (NCH) provided flood remediation assistance and advice to impacted landholders over an extended period, including property visits and </w:t>
      </w:r>
      <w:r w:rsidR="00F76CF8">
        <w:rPr>
          <w:sz w:val="24"/>
          <w:szCs w:val="24"/>
        </w:rPr>
        <w:t>tele</w:t>
      </w:r>
      <w:r w:rsidRPr="004B3347">
        <w:rPr>
          <w:sz w:val="24"/>
          <w:szCs w:val="24"/>
        </w:rPr>
        <w:t xml:space="preserve">phone consultations. Distribution of fact sheets for landowners on topics concerning the floods were distributed by the Water Operations Branch and </w:t>
      </w:r>
      <w:proofErr w:type="spellStart"/>
      <w:r w:rsidRPr="004B3347">
        <w:rPr>
          <w:sz w:val="24"/>
          <w:szCs w:val="24"/>
        </w:rPr>
        <w:t>AgriGrowth</w:t>
      </w:r>
      <w:proofErr w:type="spellEnd"/>
      <w:r w:rsidRPr="004B3347">
        <w:rPr>
          <w:sz w:val="24"/>
          <w:szCs w:val="24"/>
        </w:rPr>
        <w:t xml:space="preserve"> Tasmania.</w:t>
      </w:r>
    </w:p>
    <w:p w:rsidR="004B3347" w:rsidRPr="004B3347" w:rsidRDefault="00A31724" w:rsidP="004B3347">
      <w:pPr>
        <w:spacing w:after="120"/>
        <w:jc w:val="both"/>
        <w:rPr>
          <w:sz w:val="24"/>
          <w:szCs w:val="24"/>
        </w:rPr>
      </w:pPr>
      <w:r>
        <w:rPr>
          <w:sz w:val="24"/>
          <w:szCs w:val="24"/>
        </w:rPr>
        <w:t>The Threatened Species Section of DPIPWE undertook d</w:t>
      </w:r>
      <w:r w:rsidR="004B3347" w:rsidRPr="004B3347">
        <w:rPr>
          <w:sz w:val="24"/>
          <w:szCs w:val="24"/>
        </w:rPr>
        <w:t xml:space="preserve">esktop assessments </w:t>
      </w:r>
      <w:r>
        <w:rPr>
          <w:sz w:val="24"/>
          <w:szCs w:val="24"/>
        </w:rPr>
        <w:t>to consider likely impacts</w:t>
      </w:r>
      <w:r w:rsidR="004B3347" w:rsidRPr="004B3347">
        <w:rPr>
          <w:sz w:val="24"/>
          <w:szCs w:val="24"/>
        </w:rPr>
        <w:t xml:space="preserve"> on threatened species </w:t>
      </w:r>
      <w:r>
        <w:rPr>
          <w:sz w:val="24"/>
          <w:szCs w:val="24"/>
        </w:rPr>
        <w:t xml:space="preserve">as a result of the floods </w:t>
      </w:r>
      <w:r w:rsidR="004B3347" w:rsidRPr="004B3347">
        <w:rPr>
          <w:sz w:val="24"/>
          <w:szCs w:val="24"/>
        </w:rPr>
        <w:t xml:space="preserve">and </w:t>
      </w:r>
      <w:r>
        <w:rPr>
          <w:sz w:val="24"/>
          <w:szCs w:val="24"/>
        </w:rPr>
        <w:t xml:space="preserve">have </w:t>
      </w:r>
      <w:r w:rsidRPr="004B3347">
        <w:rPr>
          <w:sz w:val="24"/>
          <w:szCs w:val="24"/>
        </w:rPr>
        <w:t>identifi</w:t>
      </w:r>
      <w:r>
        <w:rPr>
          <w:sz w:val="24"/>
          <w:szCs w:val="24"/>
        </w:rPr>
        <w:t>ed</w:t>
      </w:r>
      <w:r w:rsidR="004B3347" w:rsidRPr="004B3347">
        <w:rPr>
          <w:sz w:val="24"/>
          <w:szCs w:val="24"/>
        </w:rPr>
        <w:t xml:space="preserve"> sites to conduct survey work to determine impacts</w:t>
      </w:r>
      <w:r>
        <w:rPr>
          <w:sz w:val="24"/>
          <w:szCs w:val="24"/>
        </w:rPr>
        <w:t>.</w:t>
      </w:r>
      <w:r w:rsidR="004B3347" w:rsidRPr="004B3347">
        <w:rPr>
          <w:sz w:val="24"/>
          <w:szCs w:val="24"/>
        </w:rPr>
        <w:t xml:space="preserve"> </w:t>
      </w:r>
      <w:r>
        <w:rPr>
          <w:sz w:val="24"/>
          <w:szCs w:val="24"/>
        </w:rPr>
        <w:t>F</w:t>
      </w:r>
      <w:r w:rsidR="004B3347" w:rsidRPr="004B3347">
        <w:rPr>
          <w:sz w:val="24"/>
          <w:szCs w:val="24"/>
        </w:rPr>
        <w:t xml:space="preserve">ield work </w:t>
      </w:r>
      <w:r>
        <w:rPr>
          <w:sz w:val="24"/>
          <w:szCs w:val="24"/>
        </w:rPr>
        <w:t>will occur at a selection of these sites in conjunction with scheduled surveys planned by the section.</w:t>
      </w:r>
    </w:p>
    <w:p w:rsidR="004B3347" w:rsidRDefault="004B3347" w:rsidP="004B3347">
      <w:pPr>
        <w:spacing w:after="120"/>
        <w:jc w:val="both"/>
        <w:rPr>
          <w:sz w:val="24"/>
          <w:szCs w:val="24"/>
        </w:rPr>
      </w:pPr>
      <w:r w:rsidRPr="004B3347">
        <w:rPr>
          <w:sz w:val="24"/>
          <w:szCs w:val="24"/>
        </w:rPr>
        <w:lastRenderedPageBreak/>
        <w:t xml:space="preserve">NCH commissioned a specialist flood recovery consultancy to assess flood impacts on river system stability and the immediate riverine environment. The consultancy report </w:t>
      </w:r>
      <w:r w:rsidR="00F76CF8">
        <w:rPr>
          <w:sz w:val="24"/>
          <w:szCs w:val="24"/>
        </w:rPr>
        <w:t xml:space="preserve">is not yet finalised. </w:t>
      </w:r>
    </w:p>
    <w:p w:rsidR="004B3347" w:rsidRDefault="004B3347" w:rsidP="00A31724">
      <w:pPr>
        <w:pStyle w:val="ListParagraph"/>
        <w:spacing w:after="120"/>
        <w:ind w:left="851"/>
        <w:jc w:val="both"/>
        <w:rPr>
          <w:sz w:val="24"/>
          <w:szCs w:val="24"/>
        </w:rPr>
      </w:pPr>
    </w:p>
    <w:p w:rsidR="004B3347" w:rsidRPr="00A31724" w:rsidRDefault="00F76CF8" w:rsidP="00A31724">
      <w:pPr>
        <w:pStyle w:val="ListParagraph"/>
        <w:numPr>
          <w:ilvl w:val="0"/>
          <w:numId w:val="16"/>
        </w:numPr>
        <w:spacing w:after="120"/>
        <w:ind w:left="851" w:hanging="851"/>
        <w:jc w:val="both"/>
        <w:rPr>
          <w:sz w:val="24"/>
          <w:szCs w:val="24"/>
        </w:rPr>
      </w:pPr>
      <w:r>
        <w:rPr>
          <w:sz w:val="24"/>
          <w:szCs w:val="24"/>
        </w:rPr>
        <w:t>Primary Producer Support</w:t>
      </w:r>
    </w:p>
    <w:p w:rsidR="00F76CF8" w:rsidRPr="00F76CF8" w:rsidRDefault="00F76CF8" w:rsidP="00F76CF8">
      <w:pPr>
        <w:spacing w:after="120"/>
        <w:jc w:val="both"/>
        <w:rPr>
          <w:sz w:val="24"/>
          <w:szCs w:val="24"/>
        </w:rPr>
      </w:pPr>
      <w:r w:rsidRPr="00F76CF8">
        <w:rPr>
          <w:sz w:val="24"/>
          <w:szCs w:val="24"/>
        </w:rPr>
        <w:t xml:space="preserve">DPIPWE has been responsible for administration of the ‘Category C Primary Producer Clean-Up Grants’ and the ‘Primary Producers Transport Subsidy’. As at 24 November 194 enterprises had applied for either a primary producer clean-up grant, transport subsidy or both.  </w:t>
      </w:r>
    </w:p>
    <w:p w:rsidR="00F76CF8" w:rsidRPr="00F76CF8" w:rsidRDefault="00F76CF8" w:rsidP="00F76CF8">
      <w:pPr>
        <w:spacing w:after="120"/>
        <w:jc w:val="both"/>
        <w:rPr>
          <w:sz w:val="24"/>
          <w:szCs w:val="24"/>
        </w:rPr>
      </w:pPr>
      <w:r w:rsidRPr="00F76CF8">
        <w:rPr>
          <w:sz w:val="24"/>
          <w:szCs w:val="24"/>
        </w:rPr>
        <w:t>Clean-up grants totalled $1,302,311.37 for 150 approved applications and transport subsidies totalled $127,464.95 for 47 approved applications. Ongoing assessment of applications is occurring.</w:t>
      </w:r>
    </w:p>
    <w:p w:rsidR="00F76CF8" w:rsidRPr="00F76CF8" w:rsidRDefault="00F76CF8" w:rsidP="00F76CF8">
      <w:pPr>
        <w:spacing w:after="120"/>
        <w:jc w:val="both"/>
        <w:rPr>
          <w:sz w:val="24"/>
          <w:szCs w:val="24"/>
        </w:rPr>
      </w:pPr>
      <w:r w:rsidRPr="00F76CF8">
        <w:rPr>
          <w:sz w:val="24"/>
          <w:szCs w:val="24"/>
        </w:rPr>
        <w:t xml:space="preserve">Initial claims for the transport subsidy close on 30 November. Once initial claims have been made and approved, enterprises then have a further 6 months from the date of the first cartage they undertake to make further claims. </w:t>
      </w:r>
    </w:p>
    <w:p w:rsidR="00B41E55" w:rsidRPr="00247DB8" w:rsidRDefault="00B41E55" w:rsidP="000B4039">
      <w:pPr>
        <w:spacing w:after="120"/>
        <w:jc w:val="both"/>
        <w:rPr>
          <w:sz w:val="24"/>
          <w:szCs w:val="24"/>
        </w:rPr>
      </w:pPr>
      <w:r w:rsidRPr="00247DB8">
        <w:rPr>
          <w:sz w:val="24"/>
          <w:szCs w:val="24"/>
        </w:rPr>
        <w:t>Utilisation of an existing Community Fund, The Rural Relief Fund</w:t>
      </w:r>
      <w:r w:rsidR="00F76CF8">
        <w:rPr>
          <w:sz w:val="24"/>
          <w:szCs w:val="24"/>
        </w:rPr>
        <w:t>,</w:t>
      </w:r>
      <w:r w:rsidRPr="00247DB8">
        <w:rPr>
          <w:sz w:val="24"/>
          <w:szCs w:val="24"/>
        </w:rPr>
        <w:t xml:space="preserve"> established prior to the flood event</w:t>
      </w:r>
      <w:r w:rsidR="00F76CF8">
        <w:rPr>
          <w:sz w:val="24"/>
          <w:szCs w:val="24"/>
        </w:rPr>
        <w:t>,</w:t>
      </w:r>
      <w:r w:rsidRPr="00247DB8">
        <w:rPr>
          <w:sz w:val="24"/>
          <w:szCs w:val="24"/>
        </w:rPr>
        <w:t xml:space="preserve"> was highly </w:t>
      </w:r>
      <w:r w:rsidR="00C036A1">
        <w:rPr>
          <w:sz w:val="24"/>
          <w:szCs w:val="24"/>
        </w:rPr>
        <w:t>effective,</w:t>
      </w:r>
      <w:r w:rsidRPr="00247DB8">
        <w:rPr>
          <w:sz w:val="24"/>
          <w:szCs w:val="24"/>
        </w:rPr>
        <w:t xml:space="preserve"> as the fund was able to be scaled up immediately to assist with the flood recovery. Th</w:t>
      </w:r>
      <w:r w:rsidR="001E013E" w:rsidRPr="00247DB8">
        <w:rPr>
          <w:sz w:val="24"/>
          <w:szCs w:val="24"/>
        </w:rPr>
        <w:t>e</w:t>
      </w:r>
      <w:r w:rsidRPr="00247DB8">
        <w:rPr>
          <w:sz w:val="24"/>
          <w:szCs w:val="24"/>
        </w:rPr>
        <w:t xml:space="preserve"> </w:t>
      </w:r>
      <w:r w:rsidR="00F76CF8">
        <w:rPr>
          <w:sz w:val="24"/>
          <w:szCs w:val="24"/>
        </w:rPr>
        <w:t>F</w:t>
      </w:r>
      <w:r w:rsidRPr="00247DB8">
        <w:rPr>
          <w:sz w:val="24"/>
          <w:szCs w:val="24"/>
        </w:rPr>
        <w:t xml:space="preserve">und had the capacity to </w:t>
      </w:r>
      <w:r w:rsidR="00F76CF8">
        <w:rPr>
          <w:sz w:val="24"/>
          <w:szCs w:val="24"/>
        </w:rPr>
        <w:t>distribute support</w:t>
      </w:r>
      <w:r w:rsidRPr="00247DB8">
        <w:rPr>
          <w:sz w:val="24"/>
          <w:szCs w:val="24"/>
        </w:rPr>
        <w:t xml:space="preserve"> efficiently. It also provided a conduit for some</w:t>
      </w:r>
      <w:r w:rsidR="00775A0A">
        <w:rPr>
          <w:sz w:val="24"/>
          <w:szCs w:val="24"/>
        </w:rPr>
        <w:t xml:space="preserve"> people affected by the floods</w:t>
      </w:r>
      <w:r w:rsidRPr="00247DB8">
        <w:rPr>
          <w:sz w:val="24"/>
          <w:szCs w:val="24"/>
        </w:rPr>
        <w:t xml:space="preserve"> into financial counselling to </w:t>
      </w:r>
      <w:r w:rsidR="00775A0A">
        <w:rPr>
          <w:sz w:val="24"/>
          <w:szCs w:val="24"/>
        </w:rPr>
        <w:t xml:space="preserve">assist them to </w:t>
      </w:r>
      <w:r w:rsidRPr="00247DB8">
        <w:rPr>
          <w:sz w:val="24"/>
          <w:szCs w:val="24"/>
        </w:rPr>
        <w:t xml:space="preserve">deal with the impacts of the event.  </w:t>
      </w:r>
    </w:p>
    <w:p w:rsidR="009E0419" w:rsidRDefault="00070696" w:rsidP="009E0419">
      <w:pPr>
        <w:spacing w:after="120"/>
        <w:jc w:val="both"/>
        <w:rPr>
          <w:sz w:val="24"/>
          <w:szCs w:val="24"/>
        </w:rPr>
      </w:pPr>
      <w:r>
        <w:rPr>
          <w:sz w:val="24"/>
          <w:szCs w:val="24"/>
        </w:rPr>
        <w:t>M</w:t>
      </w:r>
      <w:r w:rsidR="009E0419" w:rsidRPr="00247DB8">
        <w:rPr>
          <w:sz w:val="24"/>
          <w:szCs w:val="24"/>
        </w:rPr>
        <w:t>embers of the community</w:t>
      </w:r>
      <w:r>
        <w:rPr>
          <w:sz w:val="24"/>
          <w:szCs w:val="24"/>
        </w:rPr>
        <w:t xml:space="preserve"> often raised the matter of flood insurance with DPIPWE staff, who advised them they were not in a position to comment</w:t>
      </w:r>
      <w:r w:rsidR="001D68F5" w:rsidRPr="00247DB8">
        <w:rPr>
          <w:sz w:val="24"/>
          <w:szCs w:val="24"/>
        </w:rPr>
        <w:t xml:space="preserve">. </w:t>
      </w:r>
      <w:r>
        <w:rPr>
          <w:sz w:val="24"/>
          <w:szCs w:val="24"/>
        </w:rPr>
        <w:t xml:space="preserve">While the issue of insurance is important to affected landowners it is not a matter for </w:t>
      </w:r>
      <w:r w:rsidR="000A1FC9">
        <w:rPr>
          <w:sz w:val="24"/>
          <w:szCs w:val="24"/>
        </w:rPr>
        <w:t xml:space="preserve">the Department </w:t>
      </w:r>
      <w:r>
        <w:rPr>
          <w:sz w:val="24"/>
          <w:szCs w:val="24"/>
        </w:rPr>
        <w:t xml:space="preserve">to </w:t>
      </w:r>
      <w:r w:rsidR="000A1FC9">
        <w:rPr>
          <w:sz w:val="24"/>
          <w:szCs w:val="24"/>
        </w:rPr>
        <w:t xml:space="preserve">advise </w:t>
      </w:r>
      <w:r>
        <w:rPr>
          <w:sz w:val="24"/>
          <w:szCs w:val="24"/>
        </w:rPr>
        <w:t>on.</w:t>
      </w:r>
    </w:p>
    <w:p w:rsidR="003410ED" w:rsidRPr="003410ED" w:rsidRDefault="003410ED" w:rsidP="003410ED">
      <w:pPr>
        <w:spacing w:after="120"/>
        <w:jc w:val="both"/>
        <w:rPr>
          <w:sz w:val="24"/>
          <w:szCs w:val="24"/>
        </w:rPr>
      </w:pPr>
    </w:p>
    <w:p w:rsidR="004B3347" w:rsidRPr="004B3347" w:rsidRDefault="004B3347" w:rsidP="004B3347">
      <w:pPr>
        <w:pStyle w:val="ListParagraph"/>
        <w:numPr>
          <w:ilvl w:val="0"/>
          <w:numId w:val="16"/>
        </w:numPr>
        <w:spacing w:after="120"/>
        <w:ind w:left="709"/>
        <w:jc w:val="both"/>
        <w:rPr>
          <w:sz w:val="24"/>
          <w:szCs w:val="24"/>
        </w:rPr>
      </w:pPr>
      <w:r>
        <w:rPr>
          <w:sz w:val="24"/>
          <w:szCs w:val="24"/>
        </w:rPr>
        <w:t xml:space="preserve">Asset </w:t>
      </w:r>
      <w:r w:rsidR="00CB5F5C">
        <w:rPr>
          <w:sz w:val="24"/>
          <w:szCs w:val="24"/>
        </w:rPr>
        <w:t>m</w:t>
      </w:r>
      <w:r>
        <w:rPr>
          <w:sz w:val="24"/>
          <w:szCs w:val="24"/>
        </w:rPr>
        <w:t>anagement</w:t>
      </w:r>
    </w:p>
    <w:p w:rsidR="003C6433" w:rsidRPr="003C6433" w:rsidRDefault="003C6433" w:rsidP="003C6433">
      <w:pPr>
        <w:spacing w:after="120"/>
        <w:jc w:val="both"/>
        <w:rPr>
          <w:sz w:val="24"/>
          <w:szCs w:val="24"/>
        </w:rPr>
      </w:pPr>
      <w:r w:rsidRPr="003C6433">
        <w:rPr>
          <w:sz w:val="24"/>
          <w:szCs w:val="24"/>
        </w:rPr>
        <w:t>Government assets and infrastructure are maintained and generally built to withstand normal environmental conditions. Infrastructure managed by the Parks and Wildlife Service and the Water Management and Assessment Branch in several locations was not designed for a flood event of the magnitude experienced in June 2016.</w:t>
      </w:r>
    </w:p>
    <w:p w:rsidR="000A1FC9" w:rsidRDefault="000A1FC9" w:rsidP="00CF33D6">
      <w:pPr>
        <w:spacing w:after="120"/>
        <w:jc w:val="both"/>
        <w:rPr>
          <w:i/>
          <w:sz w:val="24"/>
          <w:szCs w:val="24"/>
        </w:rPr>
      </w:pPr>
      <w:r>
        <w:rPr>
          <w:i/>
          <w:sz w:val="24"/>
          <w:szCs w:val="24"/>
        </w:rPr>
        <w:t>Parks and Wildlife Service</w:t>
      </w:r>
    </w:p>
    <w:p w:rsidR="004833DB" w:rsidRPr="00CF33D6" w:rsidRDefault="004833DB" w:rsidP="00CF33D6">
      <w:pPr>
        <w:spacing w:after="120"/>
        <w:jc w:val="both"/>
        <w:rPr>
          <w:sz w:val="24"/>
          <w:szCs w:val="24"/>
        </w:rPr>
      </w:pPr>
      <w:r w:rsidRPr="00CF33D6">
        <w:rPr>
          <w:sz w:val="24"/>
          <w:szCs w:val="24"/>
        </w:rPr>
        <w:t>The Parks and Wildlife Service had significant areas of land under its management impacted by the June floods. Utilisation of available staff resources occurred to undertake priority road and track clearing in order to reopen sites as quickly as possible. Larger asset repair work was prioritised and purchased through contractors. The speed and efficiency of this response was assisted by utilising the ‘Emergency Provisions’ in the Treasurer</w:t>
      </w:r>
      <w:r w:rsidR="00721256">
        <w:rPr>
          <w:sz w:val="24"/>
          <w:szCs w:val="24"/>
        </w:rPr>
        <w:t>’</w:t>
      </w:r>
      <w:r w:rsidRPr="00CF33D6">
        <w:rPr>
          <w:sz w:val="24"/>
          <w:szCs w:val="24"/>
        </w:rPr>
        <w:t xml:space="preserve">s Exemption. </w:t>
      </w:r>
      <w:r w:rsidR="000A1FC9">
        <w:rPr>
          <w:sz w:val="24"/>
          <w:szCs w:val="24"/>
        </w:rPr>
        <w:t xml:space="preserve">In order to scale up project management capacity </w:t>
      </w:r>
      <w:r w:rsidRPr="00CF33D6">
        <w:rPr>
          <w:sz w:val="24"/>
          <w:szCs w:val="24"/>
        </w:rPr>
        <w:t xml:space="preserve">a significant amount </w:t>
      </w:r>
      <w:r w:rsidR="000A1FC9">
        <w:rPr>
          <w:sz w:val="24"/>
          <w:szCs w:val="24"/>
        </w:rPr>
        <w:t xml:space="preserve">of the project management associated with </w:t>
      </w:r>
      <w:r w:rsidRPr="00CF33D6">
        <w:rPr>
          <w:sz w:val="24"/>
          <w:szCs w:val="24"/>
        </w:rPr>
        <w:t xml:space="preserve">the insurance repair works </w:t>
      </w:r>
      <w:r w:rsidR="000A1FC9">
        <w:rPr>
          <w:sz w:val="24"/>
          <w:szCs w:val="24"/>
        </w:rPr>
        <w:t xml:space="preserve">was </w:t>
      </w:r>
      <w:r w:rsidRPr="00CF33D6">
        <w:rPr>
          <w:sz w:val="24"/>
          <w:szCs w:val="24"/>
        </w:rPr>
        <w:t>contracted to the private sector.</w:t>
      </w:r>
    </w:p>
    <w:p w:rsidR="009E0419" w:rsidRDefault="009E0419" w:rsidP="009E0419">
      <w:pPr>
        <w:spacing w:after="120"/>
        <w:jc w:val="both"/>
        <w:rPr>
          <w:sz w:val="24"/>
          <w:szCs w:val="24"/>
        </w:rPr>
      </w:pPr>
      <w:r w:rsidRPr="00247DB8">
        <w:rPr>
          <w:sz w:val="24"/>
          <w:szCs w:val="24"/>
        </w:rPr>
        <w:t xml:space="preserve">The Parks and Wildlife Service is focusing on asset reinstatement and where needed environmental repair. The lessons learnt will be applied to future design and site and planning. </w:t>
      </w:r>
      <w:r w:rsidR="00433508" w:rsidRPr="00247DB8">
        <w:rPr>
          <w:sz w:val="24"/>
          <w:szCs w:val="24"/>
        </w:rPr>
        <w:t>Government assets are self-insured through the Tasmanian Risk Management Fund.</w:t>
      </w:r>
      <w:r w:rsidR="00433508">
        <w:rPr>
          <w:sz w:val="24"/>
          <w:szCs w:val="24"/>
        </w:rPr>
        <w:t xml:space="preserve"> </w:t>
      </w:r>
      <w:r w:rsidRPr="00247DB8">
        <w:rPr>
          <w:sz w:val="24"/>
          <w:szCs w:val="24"/>
        </w:rPr>
        <w:t>One limitation has been that insurance will only cover like-for-like</w:t>
      </w:r>
      <w:r w:rsidR="00857A08">
        <w:rPr>
          <w:sz w:val="24"/>
          <w:szCs w:val="24"/>
        </w:rPr>
        <w:t xml:space="preserve"> replacement</w:t>
      </w:r>
      <w:r w:rsidRPr="00247DB8">
        <w:rPr>
          <w:sz w:val="24"/>
          <w:szCs w:val="24"/>
        </w:rPr>
        <w:t xml:space="preserve">. This means in some cases where Parks had </w:t>
      </w:r>
      <w:r w:rsidRPr="00247DB8">
        <w:rPr>
          <w:sz w:val="24"/>
          <w:szCs w:val="24"/>
        </w:rPr>
        <w:lastRenderedPageBreak/>
        <w:t xml:space="preserve">chosen to raise the height of replacement bridges or improve the structural resilience of a replacement structure, the additional cost </w:t>
      </w:r>
      <w:r w:rsidR="00721256">
        <w:rPr>
          <w:sz w:val="24"/>
          <w:szCs w:val="24"/>
        </w:rPr>
        <w:t>has</w:t>
      </w:r>
      <w:r w:rsidR="000A1FC9">
        <w:rPr>
          <w:sz w:val="24"/>
          <w:szCs w:val="24"/>
        </w:rPr>
        <w:t xml:space="preserve"> been </w:t>
      </w:r>
      <w:r w:rsidRPr="00247DB8">
        <w:rPr>
          <w:sz w:val="24"/>
          <w:szCs w:val="24"/>
        </w:rPr>
        <w:t xml:space="preserve">found from alternate funding sources. </w:t>
      </w:r>
    </w:p>
    <w:p w:rsidR="000A1FC9" w:rsidRPr="000A1FC9" w:rsidRDefault="000A1FC9" w:rsidP="009E0419">
      <w:pPr>
        <w:spacing w:after="120"/>
        <w:jc w:val="both"/>
        <w:rPr>
          <w:i/>
          <w:sz w:val="24"/>
          <w:szCs w:val="24"/>
        </w:rPr>
      </w:pPr>
      <w:r>
        <w:rPr>
          <w:i/>
          <w:sz w:val="24"/>
          <w:szCs w:val="24"/>
        </w:rPr>
        <w:t>Water Resources</w:t>
      </w:r>
    </w:p>
    <w:p w:rsidR="004833DB" w:rsidRPr="00247DB8" w:rsidRDefault="004833DB" w:rsidP="004833DB">
      <w:pPr>
        <w:spacing w:after="120"/>
        <w:jc w:val="both"/>
        <w:rPr>
          <w:sz w:val="24"/>
          <w:szCs w:val="24"/>
        </w:rPr>
      </w:pPr>
      <w:r w:rsidRPr="00247DB8">
        <w:rPr>
          <w:sz w:val="24"/>
          <w:szCs w:val="24"/>
        </w:rPr>
        <w:t>A key strategy within DPIPWE was to maintain a register of all reports about dam safety and maintaining a ‘report in’ procedure to check on staff whereabouts. Dam safety engineers undertook desktop assessments and made contact with dam owners supporting prioritisation of dams to be visited.</w:t>
      </w:r>
    </w:p>
    <w:p w:rsidR="00834EE3" w:rsidRPr="00247DB8" w:rsidRDefault="004833DB" w:rsidP="000B4039">
      <w:pPr>
        <w:spacing w:after="120"/>
        <w:jc w:val="both"/>
        <w:rPr>
          <w:sz w:val="24"/>
          <w:szCs w:val="24"/>
        </w:rPr>
      </w:pPr>
      <w:r>
        <w:rPr>
          <w:sz w:val="24"/>
          <w:szCs w:val="24"/>
        </w:rPr>
        <w:t>S</w:t>
      </w:r>
      <w:r w:rsidR="00834EE3" w:rsidRPr="00247DB8">
        <w:rPr>
          <w:sz w:val="24"/>
          <w:szCs w:val="24"/>
        </w:rPr>
        <w:t xml:space="preserve">treamlined dam repair recovery processes were developed by the Water Management Branch, allowing for the Department in cooperation with affected farmers to issue a Notice as an authority to conduct dam works, rather than </w:t>
      </w:r>
      <w:r w:rsidR="00BC5274">
        <w:rPr>
          <w:sz w:val="24"/>
          <w:szCs w:val="24"/>
        </w:rPr>
        <w:t xml:space="preserve">following </w:t>
      </w:r>
      <w:r w:rsidR="00834EE3" w:rsidRPr="00247DB8">
        <w:rPr>
          <w:sz w:val="24"/>
          <w:szCs w:val="24"/>
        </w:rPr>
        <w:t xml:space="preserve">the normal </w:t>
      </w:r>
      <w:r w:rsidR="00BC5274">
        <w:rPr>
          <w:sz w:val="24"/>
          <w:szCs w:val="24"/>
        </w:rPr>
        <w:t>process</w:t>
      </w:r>
      <w:r w:rsidR="00834EE3" w:rsidRPr="00247DB8">
        <w:rPr>
          <w:sz w:val="24"/>
          <w:szCs w:val="24"/>
        </w:rPr>
        <w:t xml:space="preserve"> </w:t>
      </w:r>
      <w:r w:rsidR="00BC5274">
        <w:rPr>
          <w:sz w:val="24"/>
          <w:szCs w:val="24"/>
        </w:rPr>
        <w:t>of</w:t>
      </w:r>
      <w:r w:rsidR="00834EE3" w:rsidRPr="00247DB8">
        <w:rPr>
          <w:sz w:val="24"/>
          <w:szCs w:val="24"/>
        </w:rPr>
        <w:t xml:space="preserve"> apply</w:t>
      </w:r>
      <w:r w:rsidR="00BC5274">
        <w:rPr>
          <w:sz w:val="24"/>
          <w:szCs w:val="24"/>
        </w:rPr>
        <w:t>ing</w:t>
      </w:r>
      <w:r w:rsidR="00834EE3" w:rsidRPr="00247DB8">
        <w:rPr>
          <w:sz w:val="24"/>
          <w:szCs w:val="24"/>
        </w:rPr>
        <w:t xml:space="preserve"> for a dam permit to conduct works. Where necessary</w:t>
      </w:r>
      <w:r w:rsidR="00BC5274">
        <w:rPr>
          <w:sz w:val="24"/>
          <w:szCs w:val="24"/>
        </w:rPr>
        <w:t>,</w:t>
      </w:r>
      <w:r w:rsidR="00834EE3" w:rsidRPr="00247DB8">
        <w:rPr>
          <w:sz w:val="24"/>
          <w:szCs w:val="24"/>
        </w:rPr>
        <w:t xml:space="preserve"> safety reports and structural integrity assessments were still required before issuing </w:t>
      </w:r>
      <w:r w:rsidR="00BC5274">
        <w:rPr>
          <w:sz w:val="24"/>
          <w:szCs w:val="24"/>
        </w:rPr>
        <w:t xml:space="preserve">of </w:t>
      </w:r>
      <w:r w:rsidR="00834EE3" w:rsidRPr="00247DB8">
        <w:rPr>
          <w:sz w:val="24"/>
          <w:szCs w:val="24"/>
        </w:rPr>
        <w:t xml:space="preserve">such Notices.  </w:t>
      </w:r>
    </w:p>
    <w:p w:rsidR="00834EE3" w:rsidRPr="00247DB8" w:rsidRDefault="00834EE3" w:rsidP="000B4039">
      <w:pPr>
        <w:spacing w:after="120"/>
        <w:jc w:val="both"/>
        <w:rPr>
          <w:sz w:val="24"/>
          <w:szCs w:val="24"/>
        </w:rPr>
      </w:pPr>
      <w:r w:rsidRPr="00247DB8">
        <w:rPr>
          <w:sz w:val="24"/>
          <w:szCs w:val="24"/>
        </w:rPr>
        <w:t xml:space="preserve">The principle that applied </w:t>
      </w:r>
      <w:r w:rsidR="00BC5274">
        <w:rPr>
          <w:sz w:val="24"/>
          <w:szCs w:val="24"/>
        </w:rPr>
        <w:t>under the streamlined</w:t>
      </w:r>
      <w:r w:rsidRPr="00247DB8">
        <w:rPr>
          <w:sz w:val="24"/>
          <w:szCs w:val="24"/>
        </w:rPr>
        <w:t xml:space="preserve"> process was </w:t>
      </w:r>
      <w:r w:rsidR="00BC5274">
        <w:rPr>
          <w:sz w:val="24"/>
          <w:szCs w:val="24"/>
        </w:rPr>
        <w:t xml:space="preserve">that dam works had to be </w:t>
      </w:r>
      <w:r w:rsidR="00D032C7" w:rsidRPr="00247DB8">
        <w:rPr>
          <w:sz w:val="24"/>
          <w:szCs w:val="24"/>
        </w:rPr>
        <w:t>‘</w:t>
      </w:r>
      <w:r w:rsidRPr="00247DB8">
        <w:rPr>
          <w:sz w:val="24"/>
          <w:szCs w:val="24"/>
        </w:rPr>
        <w:t>like for like</w:t>
      </w:r>
      <w:r w:rsidR="00D032C7" w:rsidRPr="00247DB8">
        <w:rPr>
          <w:sz w:val="24"/>
          <w:szCs w:val="24"/>
        </w:rPr>
        <w:t>’</w:t>
      </w:r>
      <w:r w:rsidRPr="00247DB8">
        <w:rPr>
          <w:sz w:val="24"/>
          <w:szCs w:val="24"/>
        </w:rPr>
        <w:t xml:space="preserve">. If either a larger or completely new structure was required, then the normal permit application and assessment processes </w:t>
      </w:r>
      <w:r w:rsidR="000A1FC9">
        <w:rPr>
          <w:sz w:val="24"/>
          <w:szCs w:val="24"/>
        </w:rPr>
        <w:t>were required</w:t>
      </w:r>
      <w:r w:rsidRPr="00247DB8">
        <w:rPr>
          <w:sz w:val="24"/>
          <w:szCs w:val="24"/>
        </w:rPr>
        <w:t>.  This measure has been effective, based on direct feedback from affected farmers with damaged dams.</w:t>
      </w:r>
    </w:p>
    <w:p w:rsidR="003C6433" w:rsidRPr="00F5776E" w:rsidRDefault="003C6433" w:rsidP="003C6433">
      <w:pPr>
        <w:spacing w:after="120"/>
        <w:jc w:val="both"/>
        <w:rPr>
          <w:sz w:val="24"/>
          <w:szCs w:val="24"/>
        </w:rPr>
      </w:pPr>
      <w:r w:rsidRPr="00247DB8">
        <w:rPr>
          <w:sz w:val="24"/>
          <w:szCs w:val="24"/>
        </w:rPr>
        <w:t xml:space="preserve">DPIPWE’s Water Monitoring Section maintains and operates approximately 90 stream gauging stations throughout. </w:t>
      </w:r>
      <w:r>
        <w:rPr>
          <w:sz w:val="24"/>
          <w:szCs w:val="24"/>
        </w:rPr>
        <w:t>The</w:t>
      </w:r>
      <w:r w:rsidRPr="00247DB8">
        <w:rPr>
          <w:sz w:val="24"/>
          <w:szCs w:val="24"/>
        </w:rPr>
        <w:t xml:space="preserve"> June flood</w:t>
      </w:r>
      <w:r>
        <w:rPr>
          <w:sz w:val="24"/>
          <w:szCs w:val="24"/>
        </w:rPr>
        <w:t>s</w:t>
      </w:r>
      <w:r w:rsidRPr="00247DB8">
        <w:rPr>
          <w:sz w:val="24"/>
          <w:szCs w:val="24"/>
        </w:rPr>
        <w:t xml:space="preserve"> destroyed or damaged 23 sites within the network. </w:t>
      </w:r>
      <w:r w:rsidRPr="00F5776E">
        <w:rPr>
          <w:sz w:val="24"/>
          <w:szCs w:val="24"/>
        </w:rPr>
        <w:t>Reinstatement of damaged gauging stations will involve infrastructure being located above the recent flood levels and where possible further from the rivers</w:t>
      </w:r>
      <w:r>
        <w:rPr>
          <w:sz w:val="24"/>
          <w:szCs w:val="24"/>
        </w:rPr>
        <w:t>.</w:t>
      </w:r>
      <w:r w:rsidRPr="00F5776E">
        <w:rPr>
          <w:sz w:val="24"/>
          <w:szCs w:val="24"/>
        </w:rPr>
        <w:t xml:space="preserve"> Works are planned for the Meander River </w:t>
      </w:r>
      <w:r>
        <w:rPr>
          <w:sz w:val="24"/>
          <w:szCs w:val="24"/>
        </w:rPr>
        <w:t xml:space="preserve">station </w:t>
      </w:r>
      <w:r w:rsidRPr="00F5776E">
        <w:rPr>
          <w:sz w:val="24"/>
          <w:szCs w:val="24"/>
        </w:rPr>
        <w:t xml:space="preserve">at </w:t>
      </w:r>
      <w:proofErr w:type="spellStart"/>
      <w:r w:rsidRPr="00F5776E">
        <w:rPr>
          <w:sz w:val="24"/>
          <w:szCs w:val="24"/>
        </w:rPr>
        <w:t>Strathbridge</w:t>
      </w:r>
      <w:proofErr w:type="spellEnd"/>
      <w:r w:rsidRPr="00F5776E">
        <w:rPr>
          <w:sz w:val="24"/>
          <w:szCs w:val="24"/>
        </w:rPr>
        <w:t>,</w:t>
      </w:r>
      <w:r>
        <w:rPr>
          <w:sz w:val="24"/>
          <w:szCs w:val="24"/>
        </w:rPr>
        <w:t xml:space="preserve"> on</w:t>
      </w:r>
      <w:r w:rsidRPr="00F5776E">
        <w:rPr>
          <w:sz w:val="24"/>
          <w:szCs w:val="24"/>
        </w:rPr>
        <w:t xml:space="preserve"> the Rubicon</w:t>
      </w:r>
      <w:r>
        <w:rPr>
          <w:sz w:val="24"/>
          <w:szCs w:val="24"/>
        </w:rPr>
        <w:t xml:space="preserve"> River</w:t>
      </w:r>
      <w:r w:rsidRPr="00F5776E">
        <w:rPr>
          <w:sz w:val="24"/>
          <w:szCs w:val="24"/>
        </w:rPr>
        <w:t xml:space="preserve"> at the Tidal Limit station, </w:t>
      </w:r>
      <w:r>
        <w:rPr>
          <w:sz w:val="24"/>
          <w:szCs w:val="24"/>
        </w:rPr>
        <w:t xml:space="preserve">on </w:t>
      </w:r>
      <w:r w:rsidRPr="00F5776E">
        <w:rPr>
          <w:sz w:val="24"/>
          <w:szCs w:val="24"/>
        </w:rPr>
        <w:t xml:space="preserve">the Cam River at the Water Supply station and on the Pipers River at Underwood. </w:t>
      </w:r>
    </w:p>
    <w:p w:rsidR="003C6433" w:rsidRPr="003B5A53" w:rsidRDefault="003C6433" w:rsidP="003C6433">
      <w:pPr>
        <w:spacing w:after="120"/>
        <w:jc w:val="both"/>
        <w:rPr>
          <w:sz w:val="24"/>
          <w:szCs w:val="24"/>
        </w:rPr>
      </w:pPr>
      <w:r w:rsidRPr="003B5A53">
        <w:rPr>
          <w:sz w:val="24"/>
          <w:szCs w:val="24"/>
        </w:rPr>
        <w:t xml:space="preserve">DPIPWE and </w:t>
      </w:r>
      <w:r>
        <w:rPr>
          <w:sz w:val="24"/>
          <w:szCs w:val="24"/>
        </w:rPr>
        <w:t xml:space="preserve">the </w:t>
      </w:r>
      <w:r w:rsidRPr="003B5A53">
        <w:rPr>
          <w:sz w:val="24"/>
          <w:szCs w:val="24"/>
        </w:rPr>
        <w:t xml:space="preserve">Bureau </w:t>
      </w:r>
      <w:r>
        <w:rPr>
          <w:sz w:val="24"/>
          <w:szCs w:val="24"/>
        </w:rPr>
        <w:t>of Meteorology</w:t>
      </w:r>
      <w:r w:rsidRPr="003B5A53">
        <w:rPr>
          <w:sz w:val="24"/>
          <w:szCs w:val="24"/>
        </w:rPr>
        <w:t xml:space="preserve"> have entered into an </w:t>
      </w:r>
      <w:r>
        <w:rPr>
          <w:sz w:val="24"/>
          <w:szCs w:val="24"/>
        </w:rPr>
        <w:t>A</w:t>
      </w:r>
      <w:r w:rsidRPr="003B5A53">
        <w:rPr>
          <w:sz w:val="24"/>
          <w:szCs w:val="24"/>
        </w:rPr>
        <w:t>greement for data and information sharing in relation to the operations of flood forecasting and warning services in Tasmania. The purpose of this Agreement is to document the existing informal arrangements between the Bureau and DPIPWE for the provision of water levels, river and other flows and rainfall data from a number of monitoring sites operated by DPIPWE and provided to the Bureau.</w:t>
      </w:r>
    </w:p>
    <w:p w:rsidR="00916B63" w:rsidRPr="003C6433" w:rsidRDefault="00916B63" w:rsidP="00087132">
      <w:pPr>
        <w:spacing w:after="120"/>
        <w:rPr>
          <w:sz w:val="24"/>
          <w:szCs w:val="24"/>
        </w:rPr>
      </w:pPr>
    </w:p>
    <w:p w:rsidR="00B70D29" w:rsidRPr="00247DB8" w:rsidRDefault="00B70D29" w:rsidP="007B6C68">
      <w:pPr>
        <w:spacing w:before="240" w:after="120"/>
        <w:rPr>
          <w:b/>
          <w:sz w:val="24"/>
          <w:szCs w:val="24"/>
        </w:rPr>
      </w:pPr>
      <w:r w:rsidRPr="00247DB8">
        <w:rPr>
          <w:b/>
          <w:sz w:val="24"/>
          <w:szCs w:val="24"/>
        </w:rPr>
        <w:t>Further Comments.</w:t>
      </w:r>
    </w:p>
    <w:p w:rsidR="00CB393F" w:rsidRPr="003C6433" w:rsidRDefault="00B41E55" w:rsidP="000B4039">
      <w:pPr>
        <w:spacing w:after="120"/>
        <w:jc w:val="both"/>
        <w:rPr>
          <w:b/>
          <w:sz w:val="24"/>
          <w:szCs w:val="24"/>
        </w:rPr>
      </w:pPr>
      <w:r w:rsidRPr="00247DB8">
        <w:rPr>
          <w:sz w:val="24"/>
          <w:szCs w:val="24"/>
        </w:rPr>
        <w:t>U</w:t>
      </w:r>
      <w:r w:rsidR="002B25B4" w:rsidRPr="00247DB8">
        <w:rPr>
          <w:sz w:val="24"/>
          <w:szCs w:val="24"/>
        </w:rPr>
        <w:t xml:space="preserve">tilisation of an emergency response system such as the Australasian Inter-service Incident Management system (AIIMS) </w:t>
      </w:r>
      <w:r w:rsidR="00D032C7" w:rsidRPr="00247DB8">
        <w:rPr>
          <w:sz w:val="24"/>
          <w:szCs w:val="24"/>
        </w:rPr>
        <w:t>is important</w:t>
      </w:r>
      <w:r w:rsidR="002B25B4" w:rsidRPr="00247DB8">
        <w:rPr>
          <w:sz w:val="24"/>
          <w:szCs w:val="24"/>
        </w:rPr>
        <w:t xml:space="preserve"> to </w:t>
      </w:r>
      <w:r w:rsidR="00D032C7" w:rsidRPr="00247DB8">
        <w:rPr>
          <w:sz w:val="24"/>
          <w:szCs w:val="24"/>
        </w:rPr>
        <w:t xml:space="preserve">ensure management of </w:t>
      </w:r>
      <w:r w:rsidR="002B25B4" w:rsidRPr="00247DB8">
        <w:rPr>
          <w:sz w:val="24"/>
          <w:szCs w:val="24"/>
        </w:rPr>
        <w:t>further natural disaster events</w:t>
      </w:r>
      <w:r w:rsidR="00D032C7" w:rsidRPr="00247DB8">
        <w:rPr>
          <w:sz w:val="24"/>
          <w:szCs w:val="24"/>
        </w:rPr>
        <w:t xml:space="preserve"> occurs efficiently as possible</w:t>
      </w:r>
      <w:r w:rsidR="002B25B4" w:rsidRPr="00247DB8">
        <w:rPr>
          <w:sz w:val="24"/>
          <w:szCs w:val="24"/>
        </w:rPr>
        <w:t>. </w:t>
      </w:r>
      <w:r w:rsidR="00CB393F" w:rsidRPr="00247DB8">
        <w:rPr>
          <w:sz w:val="24"/>
          <w:szCs w:val="24"/>
        </w:rPr>
        <w:t xml:space="preserve">Other </w:t>
      </w:r>
      <w:r w:rsidR="00785B04" w:rsidRPr="00247DB8">
        <w:rPr>
          <w:sz w:val="24"/>
          <w:szCs w:val="24"/>
        </w:rPr>
        <w:t xml:space="preserve">jurisdictions </w:t>
      </w:r>
      <w:r w:rsidR="00CB393F" w:rsidRPr="00247DB8">
        <w:rPr>
          <w:sz w:val="24"/>
          <w:szCs w:val="24"/>
        </w:rPr>
        <w:t>utilise</w:t>
      </w:r>
      <w:r w:rsidR="00785B04" w:rsidRPr="00247DB8">
        <w:rPr>
          <w:sz w:val="24"/>
          <w:szCs w:val="24"/>
        </w:rPr>
        <w:t xml:space="preserve"> AIIMS</w:t>
      </w:r>
      <w:r w:rsidRPr="00247DB8">
        <w:rPr>
          <w:sz w:val="24"/>
          <w:szCs w:val="24"/>
        </w:rPr>
        <w:t>,</w:t>
      </w:r>
      <w:r w:rsidR="00785B04" w:rsidRPr="00247DB8">
        <w:rPr>
          <w:sz w:val="24"/>
          <w:szCs w:val="24"/>
        </w:rPr>
        <w:t xml:space="preserve"> </w:t>
      </w:r>
      <w:r w:rsidR="00CB393F" w:rsidRPr="00247DB8">
        <w:rPr>
          <w:sz w:val="24"/>
          <w:szCs w:val="24"/>
        </w:rPr>
        <w:t xml:space="preserve">which allows a </w:t>
      </w:r>
      <w:r w:rsidR="00785B04" w:rsidRPr="00247DB8">
        <w:rPr>
          <w:sz w:val="24"/>
          <w:szCs w:val="24"/>
        </w:rPr>
        <w:t xml:space="preserve">functional management approach scaled to the needs of the incident. This model is </w:t>
      </w:r>
      <w:r w:rsidR="00D032C7" w:rsidRPr="00247DB8">
        <w:rPr>
          <w:sz w:val="24"/>
          <w:szCs w:val="24"/>
        </w:rPr>
        <w:t xml:space="preserve">currently </w:t>
      </w:r>
      <w:r w:rsidR="00785B04" w:rsidRPr="00247DB8">
        <w:rPr>
          <w:sz w:val="24"/>
          <w:szCs w:val="24"/>
        </w:rPr>
        <w:t xml:space="preserve">successfully adopted for biosecurity responses and </w:t>
      </w:r>
      <w:r w:rsidR="00433508">
        <w:rPr>
          <w:sz w:val="24"/>
          <w:szCs w:val="24"/>
        </w:rPr>
        <w:t xml:space="preserve">there are now </w:t>
      </w:r>
      <w:r w:rsidR="0057193D">
        <w:rPr>
          <w:sz w:val="24"/>
          <w:szCs w:val="24"/>
        </w:rPr>
        <w:t xml:space="preserve">a </w:t>
      </w:r>
      <w:r w:rsidR="00785B04" w:rsidRPr="00247DB8">
        <w:rPr>
          <w:sz w:val="24"/>
          <w:szCs w:val="24"/>
        </w:rPr>
        <w:t xml:space="preserve">number of </w:t>
      </w:r>
      <w:r w:rsidR="0057193D">
        <w:rPr>
          <w:sz w:val="24"/>
          <w:szCs w:val="24"/>
        </w:rPr>
        <w:t xml:space="preserve">experienced </w:t>
      </w:r>
      <w:r w:rsidR="00785B04" w:rsidRPr="00247DB8">
        <w:rPr>
          <w:sz w:val="24"/>
          <w:szCs w:val="24"/>
        </w:rPr>
        <w:t>staff within</w:t>
      </w:r>
      <w:r w:rsidR="00433508">
        <w:rPr>
          <w:sz w:val="24"/>
          <w:szCs w:val="24"/>
        </w:rPr>
        <w:t xml:space="preserve"> DPIPWE</w:t>
      </w:r>
      <w:r w:rsidR="00785B04" w:rsidRPr="00247DB8">
        <w:rPr>
          <w:sz w:val="24"/>
          <w:szCs w:val="24"/>
        </w:rPr>
        <w:t xml:space="preserve">.  </w:t>
      </w:r>
      <w:r w:rsidR="00433508">
        <w:rPr>
          <w:sz w:val="24"/>
          <w:szCs w:val="24"/>
        </w:rPr>
        <w:t xml:space="preserve"> </w:t>
      </w:r>
      <w:r w:rsidR="003C6433">
        <w:rPr>
          <w:sz w:val="24"/>
          <w:szCs w:val="24"/>
        </w:rPr>
        <w:t>In addition, e</w:t>
      </w:r>
      <w:r w:rsidR="003C6433" w:rsidRPr="00247DB8">
        <w:rPr>
          <w:sz w:val="24"/>
          <w:szCs w:val="24"/>
        </w:rPr>
        <w:t xml:space="preserve">nsuring consistency in disaster operation terminology is important. </w:t>
      </w:r>
      <w:r w:rsidR="003C6433">
        <w:rPr>
          <w:sz w:val="24"/>
          <w:szCs w:val="24"/>
        </w:rPr>
        <w:t xml:space="preserve">It was </w:t>
      </w:r>
      <w:r w:rsidR="003C6433" w:rsidRPr="00247DB8">
        <w:rPr>
          <w:sz w:val="24"/>
          <w:szCs w:val="24"/>
        </w:rPr>
        <w:t>noted that flood related terminology can d</w:t>
      </w:r>
      <w:r w:rsidR="003C6433">
        <w:rPr>
          <w:sz w:val="24"/>
          <w:szCs w:val="24"/>
        </w:rPr>
        <w:t>iffer between response Agencies. This was particularly highlighted in relation to measurement of river flows.</w:t>
      </w:r>
    </w:p>
    <w:p w:rsidR="003C6433" w:rsidRPr="00247DB8" w:rsidRDefault="000A1FC9" w:rsidP="003C6433">
      <w:pPr>
        <w:spacing w:after="120"/>
        <w:jc w:val="both"/>
        <w:rPr>
          <w:sz w:val="24"/>
          <w:szCs w:val="24"/>
        </w:rPr>
      </w:pPr>
      <w:r>
        <w:rPr>
          <w:sz w:val="24"/>
          <w:szCs w:val="24"/>
        </w:rPr>
        <w:t xml:space="preserve">Investment </w:t>
      </w:r>
      <w:r w:rsidR="003C6433" w:rsidRPr="00247DB8">
        <w:rPr>
          <w:sz w:val="24"/>
          <w:szCs w:val="24"/>
        </w:rPr>
        <w:t xml:space="preserve">in training </w:t>
      </w:r>
      <w:r>
        <w:rPr>
          <w:sz w:val="24"/>
          <w:szCs w:val="24"/>
        </w:rPr>
        <w:t xml:space="preserve">of Departmental staff </w:t>
      </w:r>
      <w:r w:rsidR="003C6433" w:rsidRPr="00247DB8">
        <w:rPr>
          <w:sz w:val="24"/>
          <w:szCs w:val="24"/>
        </w:rPr>
        <w:t>to ensure capacity in disaster planning, logistics and response operations is an important consideration to ensure that there is a depth of skill to draw from during a disaster event. </w:t>
      </w:r>
      <w:r w:rsidR="003C6433">
        <w:rPr>
          <w:sz w:val="24"/>
          <w:szCs w:val="24"/>
        </w:rPr>
        <w:t xml:space="preserve"> </w:t>
      </w:r>
    </w:p>
    <w:p w:rsidR="003C6433" w:rsidRPr="003C6433" w:rsidRDefault="003C6433" w:rsidP="003C6433">
      <w:pPr>
        <w:spacing w:after="120"/>
        <w:jc w:val="both"/>
        <w:rPr>
          <w:b/>
          <w:sz w:val="24"/>
          <w:szCs w:val="24"/>
        </w:rPr>
      </w:pPr>
      <w:r w:rsidRPr="00247DB8">
        <w:rPr>
          <w:sz w:val="24"/>
          <w:szCs w:val="24"/>
        </w:rPr>
        <w:t xml:space="preserve">It was noted that the </w:t>
      </w:r>
      <w:proofErr w:type="spellStart"/>
      <w:r w:rsidRPr="00247DB8">
        <w:rPr>
          <w:sz w:val="24"/>
          <w:szCs w:val="24"/>
        </w:rPr>
        <w:t>LISTmap’s</w:t>
      </w:r>
      <w:proofErr w:type="spellEnd"/>
      <w:r w:rsidRPr="00247DB8">
        <w:rPr>
          <w:sz w:val="24"/>
          <w:szCs w:val="24"/>
        </w:rPr>
        <w:t xml:space="preserve"> provision of a ‘single-point-of-truth’ was invaluable for DPIPWE’s Emergency Services GIS staff, the OSEM and the Office of the Surveyor-General to communicate, view and upload / download and share datasets quickly.</w:t>
      </w:r>
      <w:r>
        <w:rPr>
          <w:sz w:val="24"/>
          <w:szCs w:val="24"/>
        </w:rPr>
        <w:t xml:space="preserve"> </w:t>
      </w:r>
      <w:r w:rsidRPr="00247DB8">
        <w:rPr>
          <w:sz w:val="24"/>
          <w:szCs w:val="24"/>
        </w:rPr>
        <w:t xml:space="preserve">Consideration of the use of Remotely Piloted Aircraft (RPA) to capture flood water data could be made, especially in relation to recording of peak flows. RPA data is an efficient data collection method, providing rapid data capture and is accurate. Based on the </w:t>
      </w:r>
      <w:r>
        <w:rPr>
          <w:sz w:val="24"/>
          <w:szCs w:val="24"/>
        </w:rPr>
        <w:t>experience of the June floods</w:t>
      </w:r>
      <w:r w:rsidRPr="00247DB8">
        <w:rPr>
          <w:sz w:val="24"/>
          <w:szCs w:val="24"/>
        </w:rPr>
        <w:t xml:space="preserve"> the Emergency Services GIS Section, in collaboration with State Emergency Service</w:t>
      </w:r>
      <w:r>
        <w:rPr>
          <w:sz w:val="24"/>
          <w:szCs w:val="24"/>
        </w:rPr>
        <w:t xml:space="preserve">, </w:t>
      </w:r>
      <w:r w:rsidRPr="00247DB8">
        <w:rPr>
          <w:sz w:val="24"/>
          <w:szCs w:val="24"/>
        </w:rPr>
        <w:t xml:space="preserve">initiated a RPA trial </w:t>
      </w:r>
      <w:r>
        <w:rPr>
          <w:sz w:val="24"/>
          <w:szCs w:val="24"/>
        </w:rPr>
        <w:t>and</w:t>
      </w:r>
      <w:r w:rsidRPr="00247DB8">
        <w:rPr>
          <w:sz w:val="24"/>
          <w:szCs w:val="24"/>
        </w:rPr>
        <w:t xml:space="preserve"> collect</w:t>
      </w:r>
      <w:r>
        <w:rPr>
          <w:sz w:val="24"/>
          <w:szCs w:val="24"/>
        </w:rPr>
        <w:t>ed</w:t>
      </w:r>
      <w:r w:rsidRPr="00247DB8">
        <w:rPr>
          <w:sz w:val="24"/>
          <w:szCs w:val="24"/>
        </w:rPr>
        <w:t xml:space="preserve"> flood </w:t>
      </w:r>
      <w:r>
        <w:rPr>
          <w:sz w:val="24"/>
          <w:szCs w:val="24"/>
        </w:rPr>
        <w:t>imagery during</w:t>
      </w:r>
      <w:r w:rsidRPr="00247DB8">
        <w:rPr>
          <w:sz w:val="24"/>
          <w:szCs w:val="24"/>
        </w:rPr>
        <w:t xml:space="preserve"> the Huonville flood</w:t>
      </w:r>
      <w:r>
        <w:rPr>
          <w:sz w:val="24"/>
          <w:szCs w:val="24"/>
        </w:rPr>
        <w:t>s</w:t>
      </w:r>
      <w:r w:rsidRPr="00247DB8">
        <w:rPr>
          <w:sz w:val="24"/>
          <w:szCs w:val="24"/>
        </w:rPr>
        <w:t xml:space="preserve"> at the forecast flood peak</w:t>
      </w:r>
      <w:r>
        <w:rPr>
          <w:sz w:val="24"/>
          <w:szCs w:val="24"/>
        </w:rPr>
        <w:t>.</w:t>
      </w:r>
      <w:r w:rsidRPr="00247DB8">
        <w:rPr>
          <w:sz w:val="24"/>
          <w:szCs w:val="24"/>
        </w:rPr>
        <w:t xml:space="preserve"> </w:t>
      </w:r>
      <w:r>
        <w:rPr>
          <w:sz w:val="24"/>
          <w:szCs w:val="24"/>
        </w:rPr>
        <w:t xml:space="preserve"> </w:t>
      </w:r>
    </w:p>
    <w:p w:rsidR="00F76CF8" w:rsidRPr="003C6433" w:rsidRDefault="003C6433" w:rsidP="00F76CF8">
      <w:pPr>
        <w:spacing w:after="120"/>
        <w:jc w:val="both"/>
        <w:rPr>
          <w:b/>
          <w:sz w:val="24"/>
          <w:szCs w:val="24"/>
        </w:rPr>
      </w:pPr>
      <w:r w:rsidRPr="00247DB8">
        <w:rPr>
          <w:sz w:val="24"/>
          <w:szCs w:val="24"/>
        </w:rPr>
        <w:t xml:space="preserve">DPIPWE staff </w:t>
      </w:r>
      <w:r>
        <w:rPr>
          <w:sz w:val="24"/>
          <w:szCs w:val="24"/>
        </w:rPr>
        <w:t xml:space="preserve">indicated </w:t>
      </w:r>
      <w:r w:rsidRPr="00247DB8">
        <w:rPr>
          <w:sz w:val="24"/>
          <w:szCs w:val="24"/>
        </w:rPr>
        <w:t xml:space="preserve">that </w:t>
      </w:r>
      <w:r>
        <w:rPr>
          <w:sz w:val="24"/>
          <w:szCs w:val="24"/>
        </w:rPr>
        <w:t>clarification by organisations or Agencies directing field staff to collect different</w:t>
      </w:r>
      <w:r w:rsidRPr="00247DB8">
        <w:rPr>
          <w:sz w:val="24"/>
          <w:szCs w:val="24"/>
        </w:rPr>
        <w:t xml:space="preserve"> </w:t>
      </w:r>
      <w:r>
        <w:rPr>
          <w:sz w:val="24"/>
          <w:szCs w:val="24"/>
        </w:rPr>
        <w:t>types of</w:t>
      </w:r>
      <w:r w:rsidRPr="00247DB8">
        <w:rPr>
          <w:sz w:val="24"/>
          <w:szCs w:val="24"/>
        </w:rPr>
        <w:t xml:space="preserve"> spatial data </w:t>
      </w:r>
      <w:r>
        <w:rPr>
          <w:sz w:val="24"/>
          <w:szCs w:val="24"/>
        </w:rPr>
        <w:t>is important</w:t>
      </w:r>
      <w:r w:rsidRPr="00247DB8">
        <w:rPr>
          <w:sz w:val="24"/>
          <w:szCs w:val="24"/>
        </w:rPr>
        <w:t>. </w:t>
      </w:r>
      <w:r>
        <w:rPr>
          <w:sz w:val="24"/>
          <w:szCs w:val="24"/>
        </w:rPr>
        <w:t xml:space="preserve">Clear instruction </w:t>
      </w:r>
      <w:r w:rsidRPr="00247DB8">
        <w:rPr>
          <w:sz w:val="24"/>
          <w:szCs w:val="24"/>
        </w:rPr>
        <w:t>assist</w:t>
      </w:r>
      <w:r>
        <w:rPr>
          <w:sz w:val="24"/>
          <w:szCs w:val="24"/>
        </w:rPr>
        <w:t>s</w:t>
      </w:r>
      <w:r w:rsidRPr="00247DB8">
        <w:rPr>
          <w:sz w:val="24"/>
          <w:szCs w:val="24"/>
        </w:rPr>
        <w:t xml:space="preserve"> in insuring that critical data is collected </w:t>
      </w:r>
      <w:r>
        <w:rPr>
          <w:sz w:val="24"/>
          <w:szCs w:val="24"/>
        </w:rPr>
        <w:t>enabling</w:t>
      </w:r>
      <w:r w:rsidRPr="00247DB8">
        <w:rPr>
          <w:sz w:val="24"/>
          <w:szCs w:val="24"/>
        </w:rPr>
        <w:t xml:space="preserve"> Rapid Impact Assessments (RIA) </w:t>
      </w:r>
      <w:r>
        <w:rPr>
          <w:sz w:val="24"/>
          <w:szCs w:val="24"/>
        </w:rPr>
        <w:t>to be conducted quickly,</w:t>
      </w:r>
      <w:r w:rsidRPr="00247DB8">
        <w:rPr>
          <w:sz w:val="24"/>
          <w:szCs w:val="24"/>
        </w:rPr>
        <w:t xml:space="preserve"> accurate</w:t>
      </w:r>
      <w:r>
        <w:rPr>
          <w:sz w:val="24"/>
          <w:szCs w:val="24"/>
        </w:rPr>
        <w:t>ly</w:t>
      </w:r>
      <w:r w:rsidRPr="00247DB8">
        <w:rPr>
          <w:sz w:val="24"/>
          <w:szCs w:val="24"/>
        </w:rPr>
        <w:t xml:space="preserve"> and </w:t>
      </w:r>
      <w:r>
        <w:rPr>
          <w:sz w:val="24"/>
          <w:szCs w:val="24"/>
        </w:rPr>
        <w:t xml:space="preserve">helps to </w:t>
      </w:r>
      <w:r w:rsidRPr="00247DB8">
        <w:rPr>
          <w:sz w:val="24"/>
          <w:szCs w:val="24"/>
        </w:rPr>
        <w:t>inform efficient disaster response actions.</w:t>
      </w:r>
    </w:p>
    <w:p w:rsidR="00D73815" w:rsidRPr="00247DB8" w:rsidRDefault="000A1FC9" w:rsidP="000B4039">
      <w:pPr>
        <w:spacing w:after="120"/>
        <w:jc w:val="both"/>
        <w:rPr>
          <w:sz w:val="24"/>
          <w:szCs w:val="24"/>
        </w:rPr>
      </w:pPr>
      <w:r>
        <w:rPr>
          <w:sz w:val="24"/>
          <w:szCs w:val="24"/>
        </w:rPr>
        <w:t xml:space="preserve">Some </w:t>
      </w:r>
      <w:r w:rsidR="00FA6CBB" w:rsidRPr="00247DB8">
        <w:rPr>
          <w:sz w:val="24"/>
          <w:szCs w:val="24"/>
        </w:rPr>
        <w:t xml:space="preserve">DPIPWE staff noted that they were </w:t>
      </w:r>
      <w:r w:rsidR="00D81C8A">
        <w:rPr>
          <w:sz w:val="24"/>
          <w:szCs w:val="24"/>
        </w:rPr>
        <w:t xml:space="preserve">emotionally </w:t>
      </w:r>
      <w:r w:rsidR="00FA6CBB" w:rsidRPr="00247DB8">
        <w:rPr>
          <w:sz w:val="24"/>
          <w:szCs w:val="24"/>
        </w:rPr>
        <w:t xml:space="preserve">affected by the obvious distress landowners were under, hearing often firsthand </w:t>
      </w:r>
      <w:r w:rsidR="00D73815" w:rsidRPr="00247DB8">
        <w:rPr>
          <w:sz w:val="24"/>
          <w:szCs w:val="24"/>
        </w:rPr>
        <w:t>accounts of mass livestock</w:t>
      </w:r>
      <w:r w:rsidR="00D81C8A" w:rsidRPr="00D81C8A">
        <w:rPr>
          <w:sz w:val="24"/>
          <w:szCs w:val="24"/>
        </w:rPr>
        <w:t xml:space="preserve"> </w:t>
      </w:r>
      <w:r w:rsidR="00D81C8A" w:rsidRPr="00247DB8">
        <w:rPr>
          <w:sz w:val="24"/>
          <w:szCs w:val="24"/>
        </w:rPr>
        <w:t>loss</w:t>
      </w:r>
      <w:r w:rsidR="00D73815" w:rsidRPr="00247DB8">
        <w:rPr>
          <w:sz w:val="24"/>
          <w:szCs w:val="24"/>
        </w:rPr>
        <w:t xml:space="preserve">, sudden night-flooding and extensive damage to fences, buildings, machinery and paddocks. </w:t>
      </w:r>
      <w:r w:rsidR="003C6433">
        <w:rPr>
          <w:sz w:val="24"/>
          <w:szCs w:val="24"/>
        </w:rPr>
        <w:t xml:space="preserve">Agencies </w:t>
      </w:r>
      <w:r>
        <w:rPr>
          <w:sz w:val="24"/>
          <w:szCs w:val="24"/>
        </w:rPr>
        <w:t xml:space="preserve">such as DPIPWE </w:t>
      </w:r>
      <w:r w:rsidR="003C6433">
        <w:rPr>
          <w:sz w:val="24"/>
          <w:szCs w:val="24"/>
        </w:rPr>
        <w:t xml:space="preserve">need to plan to ensure appropriate support for staff </w:t>
      </w:r>
      <w:r w:rsidR="00FA6CBB" w:rsidRPr="003C6433">
        <w:rPr>
          <w:sz w:val="24"/>
          <w:szCs w:val="24"/>
        </w:rPr>
        <w:t xml:space="preserve">involved </w:t>
      </w:r>
      <w:r>
        <w:rPr>
          <w:sz w:val="24"/>
          <w:szCs w:val="24"/>
        </w:rPr>
        <w:t xml:space="preserve">in </w:t>
      </w:r>
      <w:r w:rsidR="003C6433" w:rsidRPr="003C6433">
        <w:rPr>
          <w:sz w:val="24"/>
          <w:szCs w:val="24"/>
        </w:rPr>
        <w:t xml:space="preserve">emergency response and recovery is </w:t>
      </w:r>
      <w:r w:rsidR="00FA6CBB" w:rsidRPr="003C6433">
        <w:rPr>
          <w:sz w:val="24"/>
          <w:szCs w:val="24"/>
        </w:rPr>
        <w:t>available.</w:t>
      </w:r>
    </w:p>
    <w:sectPr w:rsidR="00D73815" w:rsidRPr="00247DB8" w:rsidSect="00723687">
      <w:footerReference w:type="default" r:id="rId9"/>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AA3" w:rsidRDefault="008B0AA3" w:rsidP="00247DB8">
      <w:pPr>
        <w:spacing w:after="0" w:line="240" w:lineRule="auto"/>
      </w:pPr>
      <w:r>
        <w:separator/>
      </w:r>
    </w:p>
  </w:endnote>
  <w:endnote w:type="continuationSeparator" w:id="0">
    <w:p w:rsidR="008B0AA3" w:rsidRDefault="008B0AA3" w:rsidP="0024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26402"/>
      <w:docPartObj>
        <w:docPartGallery w:val="Page Numbers (Bottom of Page)"/>
        <w:docPartUnique/>
      </w:docPartObj>
    </w:sdtPr>
    <w:sdtEndPr>
      <w:rPr>
        <w:noProof/>
      </w:rPr>
    </w:sdtEndPr>
    <w:sdtContent>
      <w:p w:rsidR="00247DB8" w:rsidRDefault="00247DB8">
        <w:pPr>
          <w:pStyle w:val="Footer"/>
          <w:jc w:val="right"/>
        </w:pPr>
        <w:r>
          <w:fldChar w:fldCharType="begin"/>
        </w:r>
        <w:r>
          <w:instrText xml:space="preserve"> PAGE   \* MERGEFORMAT </w:instrText>
        </w:r>
        <w:r>
          <w:fldChar w:fldCharType="separate"/>
        </w:r>
        <w:r w:rsidR="005D174F">
          <w:rPr>
            <w:noProof/>
          </w:rPr>
          <w:t>1</w:t>
        </w:r>
        <w:r>
          <w:rPr>
            <w:noProof/>
          </w:rPr>
          <w:fldChar w:fldCharType="end"/>
        </w:r>
      </w:p>
    </w:sdtContent>
  </w:sdt>
  <w:p w:rsidR="00247DB8" w:rsidRDefault="00247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AA3" w:rsidRDefault="008B0AA3" w:rsidP="00247DB8">
      <w:pPr>
        <w:spacing w:after="0" w:line="240" w:lineRule="auto"/>
      </w:pPr>
      <w:r>
        <w:separator/>
      </w:r>
    </w:p>
  </w:footnote>
  <w:footnote w:type="continuationSeparator" w:id="0">
    <w:p w:rsidR="008B0AA3" w:rsidRDefault="008B0AA3" w:rsidP="00247D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E4A19"/>
    <w:multiLevelType w:val="hybridMultilevel"/>
    <w:tmpl w:val="EA3A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C849C9"/>
    <w:multiLevelType w:val="hybridMultilevel"/>
    <w:tmpl w:val="69BE32EC"/>
    <w:lvl w:ilvl="0" w:tplc="B164DBD8">
      <w:start w:val="1"/>
      <w:numFmt w:val="bullet"/>
      <w:lvlText w:val="-"/>
      <w:lvlJc w:val="left"/>
      <w:pPr>
        <w:ind w:left="1080" w:hanging="360"/>
      </w:pPr>
      <w:rPr>
        <w:rFonts w:ascii="Calibri" w:eastAsia="Calibri" w:hAnsi="Calibri" w:cs="Calibri"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209A6458"/>
    <w:multiLevelType w:val="multilevel"/>
    <w:tmpl w:val="84DA4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9D278F"/>
    <w:multiLevelType w:val="hybridMultilevel"/>
    <w:tmpl w:val="81AAE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6F3ED8"/>
    <w:multiLevelType w:val="hybridMultilevel"/>
    <w:tmpl w:val="3D2E7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1750C50"/>
    <w:multiLevelType w:val="hybridMultilevel"/>
    <w:tmpl w:val="644A0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C224E1"/>
    <w:multiLevelType w:val="hybridMultilevel"/>
    <w:tmpl w:val="81368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A67130"/>
    <w:multiLevelType w:val="hybridMultilevel"/>
    <w:tmpl w:val="63C4F46A"/>
    <w:lvl w:ilvl="0" w:tplc="0C090001">
      <w:start w:val="1"/>
      <w:numFmt w:val="bullet"/>
      <w:lvlText w:val=""/>
      <w:lvlJc w:val="left"/>
      <w:pPr>
        <w:ind w:left="1128" w:hanging="360"/>
      </w:pPr>
      <w:rPr>
        <w:rFonts w:ascii="Symbol" w:hAnsi="Symbol" w:hint="default"/>
      </w:rPr>
    </w:lvl>
    <w:lvl w:ilvl="1" w:tplc="0C090003">
      <w:start w:val="1"/>
      <w:numFmt w:val="bullet"/>
      <w:lvlText w:val="o"/>
      <w:lvlJc w:val="left"/>
      <w:pPr>
        <w:ind w:left="1848" w:hanging="360"/>
      </w:pPr>
      <w:rPr>
        <w:rFonts w:ascii="Courier New" w:hAnsi="Courier New" w:cs="Courier New" w:hint="default"/>
      </w:rPr>
    </w:lvl>
    <w:lvl w:ilvl="2" w:tplc="0C090005">
      <w:start w:val="1"/>
      <w:numFmt w:val="bullet"/>
      <w:lvlText w:val=""/>
      <w:lvlJc w:val="left"/>
      <w:pPr>
        <w:ind w:left="2568" w:hanging="360"/>
      </w:pPr>
      <w:rPr>
        <w:rFonts w:ascii="Wingdings" w:hAnsi="Wingdings" w:hint="default"/>
      </w:rPr>
    </w:lvl>
    <w:lvl w:ilvl="3" w:tplc="0C090001">
      <w:start w:val="1"/>
      <w:numFmt w:val="bullet"/>
      <w:lvlText w:val=""/>
      <w:lvlJc w:val="left"/>
      <w:pPr>
        <w:ind w:left="3288" w:hanging="360"/>
      </w:pPr>
      <w:rPr>
        <w:rFonts w:ascii="Symbol" w:hAnsi="Symbol" w:hint="default"/>
      </w:rPr>
    </w:lvl>
    <w:lvl w:ilvl="4" w:tplc="0C090003">
      <w:start w:val="1"/>
      <w:numFmt w:val="bullet"/>
      <w:lvlText w:val="o"/>
      <w:lvlJc w:val="left"/>
      <w:pPr>
        <w:ind w:left="4008" w:hanging="360"/>
      </w:pPr>
      <w:rPr>
        <w:rFonts w:ascii="Courier New" w:hAnsi="Courier New" w:cs="Courier New" w:hint="default"/>
      </w:rPr>
    </w:lvl>
    <w:lvl w:ilvl="5" w:tplc="0C090005">
      <w:start w:val="1"/>
      <w:numFmt w:val="bullet"/>
      <w:lvlText w:val=""/>
      <w:lvlJc w:val="left"/>
      <w:pPr>
        <w:ind w:left="4728" w:hanging="360"/>
      </w:pPr>
      <w:rPr>
        <w:rFonts w:ascii="Wingdings" w:hAnsi="Wingdings" w:hint="default"/>
      </w:rPr>
    </w:lvl>
    <w:lvl w:ilvl="6" w:tplc="0C090001">
      <w:start w:val="1"/>
      <w:numFmt w:val="bullet"/>
      <w:lvlText w:val=""/>
      <w:lvlJc w:val="left"/>
      <w:pPr>
        <w:ind w:left="5448" w:hanging="360"/>
      </w:pPr>
      <w:rPr>
        <w:rFonts w:ascii="Symbol" w:hAnsi="Symbol" w:hint="default"/>
      </w:rPr>
    </w:lvl>
    <w:lvl w:ilvl="7" w:tplc="0C090003">
      <w:start w:val="1"/>
      <w:numFmt w:val="bullet"/>
      <w:lvlText w:val="o"/>
      <w:lvlJc w:val="left"/>
      <w:pPr>
        <w:ind w:left="6168" w:hanging="360"/>
      </w:pPr>
      <w:rPr>
        <w:rFonts w:ascii="Courier New" w:hAnsi="Courier New" w:cs="Courier New" w:hint="default"/>
      </w:rPr>
    </w:lvl>
    <w:lvl w:ilvl="8" w:tplc="0C090005">
      <w:start w:val="1"/>
      <w:numFmt w:val="bullet"/>
      <w:lvlText w:val=""/>
      <w:lvlJc w:val="left"/>
      <w:pPr>
        <w:ind w:left="6888" w:hanging="360"/>
      </w:pPr>
      <w:rPr>
        <w:rFonts w:ascii="Wingdings" w:hAnsi="Wingdings" w:hint="default"/>
      </w:rPr>
    </w:lvl>
  </w:abstractNum>
  <w:abstractNum w:abstractNumId="8" w15:restartNumberingAfterBreak="0">
    <w:nsid w:val="52D0482D"/>
    <w:multiLevelType w:val="hybridMultilevel"/>
    <w:tmpl w:val="D2664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42C7373"/>
    <w:multiLevelType w:val="hybridMultilevel"/>
    <w:tmpl w:val="AB904A7E"/>
    <w:lvl w:ilvl="0" w:tplc="2FFA063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373E20"/>
    <w:multiLevelType w:val="hybridMultilevel"/>
    <w:tmpl w:val="33AA7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F264D4"/>
    <w:multiLevelType w:val="hybridMultilevel"/>
    <w:tmpl w:val="CFFA201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AAA5900"/>
    <w:multiLevelType w:val="hybridMultilevel"/>
    <w:tmpl w:val="3796C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1C264B2"/>
    <w:multiLevelType w:val="hybridMultilevel"/>
    <w:tmpl w:val="549405A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4" w15:restartNumberingAfterBreak="0">
    <w:nsid w:val="7824556F"/>
    <w:multiLevelType w:val="hybridMultilevel"/>
    <w:tmpl w:val="CC50998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B292726"/>
    <w:multiLevelType w:val="hybridMultilevel"/>
    <w:tmpl w:val="1D34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5E0697"/>
    <w:multiLevelType w:val="hybridMultilevel"/>
    <w:tmpl w:val="E59E6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0"/>
  </w:num>
  <w:num w:numId="5">
    <w:abstractNumId w:val="6"/>
  </w:num>
  <w:num w:numId="6">
    <w:abstractNumId w:val="11"/>
  </w:num>
  <w:num w:numId="7">
    <w:abstractNumId w:val="14"/>
  </w:num>
  <w:num w:numId="8">
    <w:abstractNumId w:val="15"/>
  </w:num>
  <w:num w:numId="9">
    <w:abstractNumId w:val="16"/>
  </w:num>
  <w:num w:numId="10">
    <w:abstractNumId w:val="13"/>
  </w:num>
  <w:num w:numId="11">
    <w:abstractNumId w:val="4"/>
  </w:num>
  <w:num w:numId="12">
    <w:abstractNumId w:val="12"/>
  </w:num>
  <w:num w:numId="13">
    <w:abstractNumId w:val="5"/>
  </w:num>
  <w:num w:numId="14">
    <w:abstractNumId w:val="1"/>
  </w:num>
  <w:num w:numId="15">
    <w:abstractNumId w:val="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04"/>
    <w:rsid w:val="00016297"/>
    <w:rsid w:val="0006618C"/>
    <w:rsid w:val="00070696"/>
    <w:rsid w:val="00087132"/>
    <w:rsid w:val="000A1FC9"/>
    <w:rsid w:val="000B4039"/>
    <w:rsid w:val="000C39CC"/>
    <w:rsid w:val="000D3346"/>
    <w:rsid w:val="000E367A"/>
    <w:rsid w:val="00123791"/>
    <w:rsid w:val="001D0941"/>
    <w:rsid w:val="001D49CF"/>
    <w:rsid w:val="001D68F5"/>
    <w:rsid w:val="001E013E"/>
    <w:rsid w:val="00247DB8"/>
    <w:rsid w:val="002B25B4"/>
    <w:rsid w:val="002B3E6B"/>
    <w:rsid w:val="002C6E24"/>
    <w:rsid w:val="003410ED"/>
    <w:rsid w:val="0038517A"/>
    <w:rsid w:val="003B5A53"/>
    <w:rsid w:val="003C6433"/>
    <w:rsid w:val="003D1A72"/>
    <w:rsid w:val="003D4F53"/>
    <w:rsid w:val="003D5B9C"/>
    <w:rsid w:val="00433508"/>
    <w:rsid w:val="00465F05"/>
    <w:rsid w:val="004833DB"/>
    <w:rsid w:val="0048436B"/>
    <w:rsid w:val="004B3347"/>
    <w:rsid w:val="005322B9"/>
    <w:rsid w:val="0057193D"/>
    <w:rsid w:val="00575B92"/>
    <w:rsid w:val="005B2130"/>
    <w:rsid w:val="005C577D"/>
    <w:rsid w:val="005D174F"/>
    <w:rsid w:val="00672B65"/>
    <w:rsid w:val="00677A0F"/>
    <w:rsid w:val="006823F4"/>
    <w:rsid w:val="006A3F86"/>
    <w:rsid w:val="006B65FA"/>
    <w:rsid w:val="006D6AD5"/>
    <w:rsid w:val="006E48A9"/>
    <w:rsid w:val="006F742B"/>
    <w:rsid w:val="00721256"/>
    <w:rsid w:val="00723687"/>
    <w:rsid w:val="00730CB5"/>
    <w:rsid w:val="00775A0A"/>
    <w:rsid w:val="00785B04"/>
    <w:rsid w:val="0078622D"/>
    <w:rsid w:val="00793310"/>
    <w:rsid w:val="007B56F0"/>
    <w:rsid w:val="007B6C68"/>
    <w:rsid w:val="007F5DBA"/>
    <w:rsid w:val="008342A2"/>
    <w:rsid w:val="00834EE3"/>
    <w:rsid w:val="00857A08"/>
    <w:rsid w:val="00891A4D"/>
    <w:rsid w:val="008A2CCB"/>
    <w:rsid w:val="008A7B59"/>
    <w:rsid w:val="008B03E5"/>
    <w:rsid w:val="008B0AA3"/>
    <w:rsid w:val="009004DD"/>
    <w:rsid w:val="00916B63"/>
    <w:rsid w:val="00930921"/>
    <w:rsid w:val="009834A3"/>
    <w:rsid w:val="009E0419"/>
    <w:rsid w:val="009F730D"/>
    <w:rsid w:val="00A31724"/>
    <w:rsid w:val="00AC36F2"/>
    <w:rsid w:val="00AF522E"/>
    <w:rsid w:val="00B128B9"/>
    <w:rsid w:val="00B41E55"/>
    <w:rsid w:val="00B70D29"/>
    <w:rsid w:val="00BC5274"/>
    <w:rsid w:val="00C036A1"/>
    <w:rsid w:val="00C24B47"/>
    <w:rsid w:val="00C36B2E"/>
    <w:rsid w:val="00C466EE"/>
    <w:rsid w:val="00C83600"/>
    <w:rsid w:val="00CA4DAD"/>
    <w:rsid w:val="00CB393F"/>
    <w:rsid w:val="00CB5F5C"/>
    <w:rsid w:val="00CB73C5"/>
    <w:rsid w:val="00CD37C8"/>
    <w:rsid w:val="00CF33D6"/>
    <w:rsid w:val="00D02A51"/>
    <w:rsid w:val="00D032C7"/>
    <w:rsid w:val="00D73815"/>
    <w:rsid w:val="00D81C8A"/>
    <w:rsid w:val="00D941AA"/>
    <w:rsid w:val="00E11CB9"/>
    <w:rsid w:val="00E1751D"/>
    <w:rsid w:val="00E95E89"/>
    <w:rsid w:val="00EB1210"/>
    <w:rsid w:val="00EC7D08"/>
    <w:rsid w:val="00ED2D02"/>
    <w:rsid w:val="00ED53CE"/>
    <w:rsid w:val="00EF1BE7"/>
    <w:rsid w:val="00F261FA"/>
    <w:rsid w:val="00F42C1D"/>
    <w:rsid w:val="00F5776E"/>
    <w:rsid w:val="00F76CF8"/>
    <w:rsid w:val="00FA6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E82AD-3119-45C8-87E7-CCA8F4ED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B04"/>
    <w:pPr>
      <w:spacing w:after="0" w:line="240" w:lineRule="auto"/>
      <w:ind w:left="720"/>
    </w:pPr>
    <w:rPr>
      <w:rFonts w:ascii="Calibri" w:hAnsi="Calibri" w:cs="Calibri"/>
    </w:rPr>
  </w:style>
  <w:style w:type="character" w:styleId="Hyperlink">
    <w:name w:val="Hyperlink"/>
    <w:basedOn w:val="DefaultParagraphFont"/>
    <w:uiPriority w:val="99"/>
    <w:unhideWhenUsed/>
    <w:rsid w:val="00785B04"/>
    <w:rPr>
      <w:color w:val="0563C1" w:themeColor="hyperlink"/>
      <w:u w:val="single"/>
    </w:rPr>
  </w:style>
  <w:style w:type="character" w:customStyle="1" w:styleId="tgc">
    <w:name w:val="_tgc"/>
    <w:basedOn w:val="DefaultParagraphFont"/>
    <w:rsid w:val="00785B04"/>
  </w:style>
  <w:style w:type="paragraph" w:styleId="Header">
    <w:name w:val="header"/>
    <w:basedOn w:val="Normal"/>
    <w:link w:val="HeaderChar"/>
    <w:uiPriority w:val="99"/>
    <w:rsid w:val="00465F05"/>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465F05"/>
    <w:rPr>
      <w:rFonts w:ascii="Arial" w:eastAsia="Times New Roman" w:hAnsi="Arial" w:cs="Times New Roman"/>
      <w:szCs w:val="20"/>
    </w:rPr>
  </w:style>
  <w:style w:type="character" w:styleId="FollowedHyperlink">
    <w:name w:val="FollowedHyperlink"/>
    <w:basedOn w:val="DefaultParagraphFont"/>
    <w:uiPriority w:val="99"/>
    <w:semiHidden/>
    <w:unhideWhenUsed/>
    <w:rsid w:val="008342A2"/>
    <w:rPr>
      <w:color w:val="954F72" w:themeColor="followedHyperlink"/>
      <w:u w:val="single"/>
    </w:rPr>
  </w:style>
  <w:style w:type="paragraph" w:styleId="Footer">
    <w:name w:val="footer"/>
    <w:basedOn w:val="Normal"/>
    <w:link w:val="FooterChar"/>
    <w:uiPriority w:val="99"/>
    <w:unhideWhenUsed/>
    <w:rsid w:val="0024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DB8"/>
  </w:style>
  <w:style w:type="paragraph" w:styleId="BalloonText">
    <w:name w:val="Balloon Text"/>
    <w:basedOn w:val="Normal"/>
    <w:link w:val="BalloonTextChar"/>
    <w:uiPriority w:val="99"/>
    <w:semiHidden/>
    <w:unhideWhenUsed/>
    <w:rsid w:val="00247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B8"/>
    <w:rPr>
      <w:rFonts w:ascii="Segoe UI" w:hAnsi="Segoe UI" w:cs="Segoe UI"/>
      <w:sz w:val="18"/>
      <w:szCs w:val="18"/>
    </w:rPr>
  </w:style>
  <w:style w:type="character" w:styleId="CommentReference">
    <w:name w:val="annotation reference"/>
    <w:basedOn w:val="DefaultParagraphFont"/>
    <w:uiPriority w:val="99"/>
    <w:semiHidden/>
    <w:unhideWhenUsed/>
    <w:rsid w:val="00CB73C5"/>
    <w:rPr>
      <w:sz w:val="16"/>
      <w:szCs w:val="16"/>
    </w:rPr>
  </w:style>
  <w:style w:type="paragraph" w:styleId="CommentText">
    <w:name w:val="annotation text"/>
    <w:basedOn w:val="Normal"/>
    <w:link w:val="CommentTextChar"/>
    <w:uiPriority w:val="99"/>
    <w:semiHidden/>
    <w:unhideWhenUsed/>
    <w:rsid w:val="00CB73C5"/>
    <w:pPr>
      <w:spacing w:line="240" w:lineRule="auto"/>
    </w:pPr>
    <w:rPr>
      <w:sz w:val="20"/>
      <w:szCs w:val="20"/>
    </w:rPr>
  </w:style>
  <w:style w:type="character" w:customStyle="1" w:styleId="CommentTextChar">
    <w:name w:val="Comment Text Char"/>
    <w:basedOn w:val="DefaultParagraphFont"/>
    <w:link w:val="CommentText"/>
    <w:uiPriority w:val="99"/>
    <w:semiHidden/>
    <w:rsid w:val="00CB73C5"/>
    <w:rPr>
      <w:sz w:val="20"/>
      <w:szCs w:val="20"/>
    </w:rPr>
  </w:style>
  <w:style w:type="paragraph" w:styleId="CommentSubject">
    <w:name w:val="annotation subject"/>
    <w:basedOn w:val="CommentText"/>
    <w:next w:val="CommentText"/>
    <w:link w:val="CommentSubjectChar"/>
    <w:uiPriority w:val="99"/>
    <w:semiHidden/>
    <w:unhideWhenUsed/>
    <w:rsid w:val="00CB73C5"/>
    <w:rPr>
      <w:b/>
      <w:bCs/>
    </w:rPr>
  </w:style>
  <w:style w:type="character" w:customStyle="1" w:styleId="CommentSubjectChar">
    <w:name w:val="Comment Subject Char"/>
    <w:basedOn w:val="CommentTextChar"/>
    <w:link w:val="CommentSubject"/>
    <w:uiPriority w:val="99"/>
    <w:semiHidden/>
    <w:rsid w:val="00CB73C5"/>
    <w:rPr>
      <w:b/>
      <w:bCs/>
      <w:sz w:val="20"/>
      <w:szCs w:val="20"/>
    </w:rPr>
  </w:style>
  <w:style w:type="character" w:customStyle="1" w:styleId="ListParagraphChar">
    <w:name w:val="List Paragraph Char"/>
    <w:basedOn w:val="DefaultParagraphFont"/>
    <w:link w:val="ListParagraph"/>
    <w:uiPriority w:val="34"/>
    <w:locked/>
    <w:rsid w:val="00CF33D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3920">
      <w:bodyDiv w:val="1"/>
      <w:marLeft w:val="0"/>
      <w:marRight w:val="0"/>
      <w:marTop w:val="0"/>
      <w:marBottom w:val="0"/>
      <w:divBdr>
        <w:top w:val="none" w:sz="0" w:space="0" w:color="auto"/>
        <w:left w:val="none" w:sz="0" w:space="0" w:color="auto"/>
        <w:bottom w:val="none" w:sz="0" w:space="0" w:color="auto"/>
        <w:right w:val="none" w:sz="0" w:space="0" w:color="auto"/>
      </w:divBdr>
    </w:div>
    <w:div w:id="237138872">
      <w:bodyDiv w:val="1"/>
      <w:marLeft w:val="0"/>
      <w:marRight w:val="0"/>
      <w:marTop w:val="0"/>
      <w:marBottom w:val="0"/>
      <w:divBdr>
        <w:top w:val="none" w:sz="0" w:space="0" w:color="auto"/>
        <w:left w:val="none" w:sz="0" w:space="0" w:color="auto"/>
        <w:bottom w:val="none" w:sz="0" w:space="0" w:color="auto"/>
        <w:right w:val="none" w:sz="0" w:space="0" w:color="auto"/>
      </w:divBdr>
    </w:div>
    <w:div w:id="407386716">
      <w:bodyDiv w:val="1"/>
      <w:marLeft w:val="0"/>
      <w:marRight w:val="0"/>
      <w:marTop w:val="0"/>
      <w:marBottom w:val="0"/>
      <w:divBdr>
        <w:top w:val="none" w:sz="0" w:space="0" w:color="auto"/>
        <w:left w:val="none" w:sz="0" w:space="0" w:color="auto"/>
        <w:bottom w:val="none" w:sz="0" w:space="0" w:color="auto"/>
        <w:right w:val="none" w:sz="0" w:space="0" w:color="auto"/>
      </w:divBdr>
    </w:div>
    <w:div w:id="526912949">
      <w:bodyDiv w:val="1"/>
      <w:marLeft w:val="0"/>
      <w:marRight w:val="0"/>
      <w:marTop w:val="0"/>
      <w:marBottom w:val="0"/>
      <w:divBdr>
        <w:top w:val="none" w:sz="0" w:space="0" w:color="auto"/>
        <w:left w:val="none" w:sz="0" w:space="0" w:color="auto"/>
        <w:bottom w:val="none" w:sz="0" w:space="0" w:color="auto"/>
        <w:right w:val="none" w:sz="0" w:space="0" w:color="auto"/>
      </w:divBdr>
    </w:div>
    <w:div w:id="684402692">
      <w:bodyDiv w:val="1"/>
      <w:marLeft w:val="0"/>
      <w:marRight w:val="0"/>
      <w:marTop w:val="0"/>
      <w:marBottom w:val="0"/>
      <w:divBdr>
        <w:top w:val="none" w:sz="0" w:space="0" w:color="auto"/>
        <w:left w:val="none" w:sz="0" w:space="0" w:color="auto"/>
        <w:bottom w:val="none" w:sz="0" w:space="0" w:color="auto"/>
        <w:right w:val="none" w:sz="0" w:space="0" w:color="auto"/>
      </w:divBdr>
    </w:div>
    <w:div w:id="953052168">
      <w:bodyDiv w:val="1"/>
      <w:marLeft w:val="0"/>
      <w:marRight w:val="0"/>
      <w:marTop w:val="0"/>
      <w:marBottom w:val="0"/>
      <w:divBdr>
        <w:top w:val="none" w:sz="0" w:space="0" w:color="auto"/>
        <w:left w:val="none" w:sz="0" w:space="0" w:color="auto"/>
        <w:bottom w:val="none" w:sz="0" w:space="0" w:color="auto"/>
        <w:right w:val="none" w:sz="0" w:space="0" w:color="auto"/>
      </w:divBdr>
    </w:div>
    <w:div w:id="1065762023">
      <w:bodyDiv w:val="1"/>
      <w:marLeft w:val="0"/>
      <w:marRight w:val="0"/>
      <w:marTop w:val="0"/>
      <w:marBottom w:val="0"/>
      <w:divBdr>
        <w:top w:val="none" w:sz="0" w:space="0" w:color="auto"/>
        <w:left w:val="none" w:sz="0" w:space="0" w:color="auto"/>
        <w:bottom w:val="none" w:sz="0" w:space="0" w:color="auto"/>
        <w:right w:val="none" w:sz="0" w:space="0" w:color="auto"/>
      </w:divBdr>
    </w:div>
    <w:div w:id="1137794780">
      <w:bodyDiv w:val="1"/>
      <w:marLeft w:val="0"/>
      <w:marRight w:val="0"/>
      <w:marTop w:val="0"/>
      <w:marBottom w:val="0"/>
      <w:divBdr>
        <w:top w:val="none" w:sz="0" w:space="0" w:color="auto"/>
        <w:left w:val="none" w:sz="0" w:space="0" w:color="auto"/>
        <w:bottom w:val="none" w:sz="0" w:space="0" w:color="auto"/>
        <w:right w:val="none" w:sz="0" w:space="0" w:color="auto"/>
      </w:divBdr>
    </w:div>
    <w:div w:id="1318652666">
      <w:bodyDiv w:val="1"/>
      <w:marLeft w:val="0"/>
      <w:marRight w:val="0"/>
      <w:marTop w:val="0"/>
      <w:marBottom w:val="0"/>
      <w:divBdr>
        <w:top w:val="none" w:sz="0" w:space="0" w:color="auto"/>
        <w:left w:val="none" w:sz="0" w:space="0" w:color="auto"/>
        <w:bottom w:val="none" w:sz="0" w:space="0" w:color="auto"/>
        <w:right w:val="none" w:sz="0" w:space="0" w:color="auto"/>
      </w:divBdr>
    </w:div>
    <w:div w:id="1502349068">
      <w:bodyDiv w:val="1"/>
      <w:marLeft w:val="0"/>
      <w:marRight w:val="0"/>
      <w:marTop w:val="0"/>
      <w:marBottom w:val="0"/>
      <w:divBdr>
        <w:top w:val="none" w:sz="0" w:space="0" w:color="auto"/>
        <w:left w:val="none" w:sz="0" w:space="0" w:color="auto"/>
        <w:bottom w:val="none" w:sz="0" w:space="0" w:color="auto"/>
        <w:right w:val="none" w:sz="0" w:space="0" w:color="auto"/>
      </w:divBdr>
    </w:div>
    <w:div w:id="1565261881">
      <w:bodyDiv w:val="1"/>
      <w:marLeft w:val="0"/>
      <w:marRight w:val="0"/>
      <w:marTop w:val="0"/>
      <w:marBottom w:val="0"/>
      <w:divBdr>
        <w:top w:val="none" w:sz="0" w:space="0" w:color="auto"/>
        <w:left w:val="none" w:sz="0" w:space="0" w:color="auto"/>
        <w:bottom w:val="none" w:sz="0" w:space="0" w:color="auto"/>
        <w:right w:val="none" w:sz="0" w:space="0" w:color="auto"/>
      </w:divBdr>
    </w:div>
    <w:div w:id="1846623982">
      <w:bodyDiv w:val="1"/>
      <w:marLeft w:val="0"/>
      <w:marRight w:val="0"/>
      <w:marTop w:val="0"/>
      <w:marBottom w:val="0"/>
      <w:divBdr>
        <w:top w:val="none" w:sz="0" w:space="0" w:color="auto"/>
        <w:left w:val="none" w:sz="0" w:space="0" w:color="auto"/>
        <w:bottom w:val="none" w:sz="0" w:space="0" w:color="auto"/>
        <w:right w:val="none" w:sz="0" w:space="0" w:color="auto"/>
      </w:divBdr>
    </w:div>
    <w:div w:id="20594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ipwe.tas.gov.au/about-the-department/flood-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F677-EE95-4D2D-8054-69D59C03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DPIPWE</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Dean</dc:creator>
  <cp:keywords/>
  <dc:description/>
  <cp:lastModifiedBy>Edmonds, Brian</cp:lastModifiedBy>
  <cp:revision>2</cp:revision>
  <cp:lastPrinted>2016-12-05T04:07:00Z</cp:lastPrinted>
  <dcterms:created xsi:type="dcterms:W3CDTF">2016-12-19T00:22:00Z</dcterms:created>
  <dcterms:modified xsi:type="dcterms:W3CDTF">2016-12-19T00:22:00Z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H613724</vt:lpwstr>
  </property>
  <property fmtid="{D5CDD505-2E9C-101B-9397-08002B2CF9AE}" pid="3" name="DocONERegDate">
    <vt:lpwstr>28/11/2016 04:07:07 PM</vt:lpwstr>
  </property>
  <property fmtid="{D5CDD505-2E9C-101B-9397-08002B2CF9AE}" pid="4" name="DocONEVerNo">
    <vt:lpwstr>1</vt:lpwstr>
  </property>
  <property fmtid="{D5CDD505-2E9C-101B-9397-08002B2CF9AE}" pid="5" name="DocONECreatedDate">
    <vt:lpwstr>28/11/2016</vt:lpwstr>
  </property>
</Properties>
</file>