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4C2" w:rsidRDefault="00FC34C2" w:rsidP="00A278CB">
      <w:pPr>
        <w:shd w:val="clear" w:color="auto" w:fill="FFFFFF"/>
        <w:spacing w:before="100" w:beforeAutospacing="1" w:after="100" w:afterAutospacing="1" w:line="234" w:lineRule="atLeast"/>
        <w:rPr>
          <w:rFonts w:ascii="Arial" w:eastAsia="Times New Roman" w:hAnsi="Arial" w:cs="Arial"/>
          <w:b/>
          <w:sz w:val="24"/>
          <w:szCs w:val="24"/>
          <w:lang w:eastAsia="en-AU"/>
        </w:rPr>
      </w:pPr>
      <w:bookmarkStart w:id="0" w:name="_GoBack"/>
      <w:bookmarkEnd w:id="0"/>
    </w:p>
    <w:p w:rsidR="001E774E" w:rsidRDefault="00EF2253" w:rsidP="0002756A">
      <w:pPr>
        <w:shd w:val="clear" w:color="auto" w:fill="FFFFFF"/>
        <w:spacing w:before="100" w:beforeAutospacing="1" w:after="100" w:afterAutospacing="1" w:line="234" w:lineRule="atLeast"/>
        <w:jc w:val="center"/>
        <w:rPr>
          <w:rFonts w:ascii="Arial" w:eastAsia="Times New Roman" w:hAnsi="Arial" w:cs="Arial"/>
          <w:b/>
          <w:sz w:val="24"/>
          <w:szCs w:val="24"/>
          <w:lang w:eastAsia="en-AU"/>
        </w:rPr>
      </w:pPr>
      <w:r>
        <w:rPr>
          <w:rFonts w:ascii="Arial" w:eastAsia="Times New Roman" w:hAnsi="Arial" w:cs="Arial"/>
          <w:b/>
          <w:noProof/>
          <w:sz w:val="24"/>
          <w:szCs w:val="24"/>
          <w:lang w:eastAsia="en-AU"/>
        </w:rPr>
        <w:drawing>
          <wp:inline distT="0" distB="0" distL="0" distR="0">
            <wp:extent cx="1724400" cy="2228400"/>
            <wp:effectExtent l="0" t="0" r="952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S Logo(rgb) medium-high qualit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4400" cy="2228400"/>
                    </a:xfrm>
                    <a:prstGeom prst="rect">
                      <a:avLst/>
                    </a:prstGeom>
                  </pic:spPr>
                </pic:pic>
              </a:graphicData>
            </a:graphic>
          </wp:inline>
        </w:drawing>
      </w:r>
    </w:p>
    <w:p w:rsidR="001E774E" w:rsidRDefault="001E774E" w:rsidP="0002756A">
      <w:pPr>
        <w:spacing w:after="200" w:line="240" w:lineRule="auto"/>
        <w:rPr>
          <w:rFonts w:ascii="Arial" w:eastAsia="Calibri" w:hAnsi="Arial" w:cs="Arial"/>
          <w:b/>
          <w:color w:val="808080" w:themeColor="background1" w:themeShade="80"/>
          <w:sz w:val="52"/>
          <w:szCs w:val="52"/>
        </w:rPr>
      </w:pPr>
    </w:p>
    <w:p w:rsidR="001E774E" w:rsidRDefault="001E774E" w:rsidP="006C6425">
      <w:pPr>
        <w:spacing w:after="200" w:line="240" w:lineRule="auto"/>
        <w:ind w:left="567"/>
        <w:jc w:val="center"/>
        <w:rPr>
          <w:rFonts w:ascii="Arial" w:eastAsia="Calibri" w:hAnsi="Arial" w:cs="Arial"/>
          <w:b/>
          <w:color w:val="808080" w:themeColor="background1" w:themeShade="80"/>
          <w:sz w:val="52"/>
          <w:szCs w:val="52"/>
        </w:rPr>
      </w:pPr>
      <w:r>
        <w:rPr>
          <w:rFonts w:ascii="Arial" w:eastAsia="Calibri" w:hAnsi="Arial" w:cs="Arial"/>
          <w:b/>
          <w:color w:val="808080" w:themeColor="background1" w:themeShade="80"/>
          <w:sz w:val="52"/>
          <w:szCs w:val="52"/>
        </w:rPr>
        <w:t xml:space="preserve">Submission to the 2016 </w:t>
      </w:r>
      <w:r w:rsidR="006C6425">
        <w:rPr>
          <w:rFonts w:ascii="Arial" w:eastAsia="Calibri" w:hAnsi="Arial" w:cs="Arial"/>
          <w:b/>
          <w:color w:val="808080" w:themeColor="background1" w:themeShade="80"/>
          <w:sz w:val="52"/>
          <w:szCs w:val="52"/>
        </w:rPr>
        <w:t>Tasmania</w:t>
      </w:r>
    </w:p>
    <w:p w:rsidR="006C6425" w:rsidRPr="001E774E" w:rsidRDefault="006C6425" w:rsidP="006C6425">
      <w:pPr>
        <w:spacing w:after="200" w:line="240" w:lineRule="auto"/>
        <w:ind w:left="567"/>
        <w:jc w:val="center"/>
        <w:rPr>
          <w:rFonts w:ascii="Arial" w:eastAsia="Calibri" w:hAnsi="Arial" w:cs="Arial"/>
          <w:b/>
          <w:color w:val="808080" w:themeColor="background1" w:themeShade="80"/>
          <w:sz w:val="52"/>
          <w:szCs w:val="52"/>
        </w:rPr>
      </w:pPr>
      <w:r>
        <w:rPr>
          <w:rFonts w:ascii="Arial" w:eastAsia="Calibri" w:hAnsi="Arial" w:cs="Arial"/>
          <w:b/>
          <w:color w:val="808080" w:themeColor="background1" w:themeShade="80"/>
          <w:sz w:val="52"/>
          <w:szCs w:val="52"/>
        </w:rPr>
        <w:t>Government Flood Review</w:t>
      </w:r>
    </w:p>
    <w:p w:rsidR="001E774E" w:rsidRDefault="001E774E" w:rsidP="00A278CB">
      <w:pPr>
        <w:shd w:val="clear" w:color="auto" w:fill="FFFFFF"/>
        <w:spacing w:before="100" w:beforeAutospacing="1" w:after="100" w:afterAutospacing="1" w:line="234" w:lineRule="atLeast"/>
        <w:rPr>
          <w:rFonts w:ascii="Arial" w:eastAsia="Times New Roman" w:hAnsi="Arial" w:cs="Arial"/>
          <w:b/>
          <w:sz w:val="24"/>
          <w:szCs w:val="24"/>
          <w:lang w:eastAsia="en-AU"/>
        </w:rPr>
      </w:pPr>
    </w:p>
    <w:p w:rsidR="001E774E" w:rsidRDefault="001E774E" w:rsidP="001E774E">
      <w:pPr>
        <w:shd w:val="clear" w:color="auto" w:fill="FFFFFF"/>
        <w:spacing w:before="100" w:beforeAutospacing="1" w:after="100" w:afterAutospacing="1" w:line="234" w:lineRule="atLeast"/>
        <w:jc w:val="center"/>
        <w:rPr>
          <w:rFonts w:ascii="Arial" w:eastAsia="Times New Roman" w:hAnsi="Arial" w:cs="Arial"/>
          <w:b/>
          <w:sz w:val="24"/>
          <w:szCs w:val="24"/>
          <w:lang w:eastAsia="en-AU"/>
        </w:rPr>
      </w:pPr>
      <w:r>
        <w:rPr>
          <w:rFonts w:ascii="Arial" w:eastAsia="Times New Roman" w:hAnsi="Arial" w:cs="Arial"/>
          <w:b/>
          <w:noProof/>
          <w:sz w:val="24"/>
          <w:szCs w:val="24"/>
          <w:lang w:eastAsia="en-AU"/>
        </w:rPr>
        <w:drawing>
          <wp:inline distT="0" distB="0" distL="0" distR="0">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b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rsidR="00FC34C2" w:rsidRPr="006C6425" w:rsidRDefault="006C6425" w:rsidP="006C6425">
      <w:pPr>
        <w:shd w:val="clear" w:color="auto" w:fill="FFFFFF"/>
        <w:spacing w:before="100" w:beforeAutospacing="1" w:after="100" w:afterAutospacing="1" w:line="234" w:lineRule="atLeast"/>
        <w:jc w:val="right"/>
        <w:rPr>
          <w:rFonts w:ascii="Arial" w:eastAsia="Times New Roman" w:hAnsi="Arial" w:cs="Arial"/>
          <w:sz w:val="24"/>
          <w:szCs w:val="24"/>
          <w:lang w:eastAsia="en-AU"/>
        </w:rPr>
      </w:pPr>
      <w:r>
        <w:rPr>
          <w:rFonts w:ascii="Arial" w:eastAsia="Times New Roman" w:hAnsi="Arial" w:cs="Arial"/>
          <w:sz w:val="24"/>
          <w:szCs w:val="24"/>
          <w:lang w:eastAsia="en-AU"/>
        </w:rPr>
        <w:t>SES Northern Regional HQ, June 2016</w:t>
      </w:r>
    </w:p>
    <w:p w:rsidR="006720A3" w:rsidRPr="00042DD0" w:rsidRDefault="006720A3" w:rsidP="00E5492D">
      <w:pPr>
        <w:shd w:val="clear" w:color="auto" w:fill="FFFFFF"/>
        <w:spacing w:before="100" w:beforeAutospacing="1" w:after="100" w:afterAutospacing="1" w:line="234" w:lineRule="atLeast"/>
        <w:jc w:val="both"/>
        <w:rPr>
          <w:rFonts w:ascii="Arial" w:eastAsia="Times New Roman" w:hAnsi="Arial" w:cs="Arial"/>
          <w:b/>
          <w:sz w:val="24"/>
          <w:szCs w:val="24"/>
          <w:lang w:eastAsia="en-AU"/>
        </w:rPr>
      </w:pPr>
      <w:r w:rsidRPr="00042DD0">
        <w:rPr>
          <w:rFonts w:ascii="Arial" w:eastAsia="Times New Roman" w:hAnsi="Arial" w:cs="Arial"/>
          <w:b/>
          <w:sz w:val="24"/>
          <w:szCs w:val="24"/>
          <w:lang w:eastAsia="en-AU"/>
        </w:rPr>
        <w:lastRenderedPageBreak/>
        <w:t>The effectiveness of the strategies, preparedness and plans related to managing flood risk in Tasmania that were in place prior to the June 2016 floods occurring; including existing and potential levee systems.</w:t>
      </w:r>
    </w:p>
    <w:p w:rsidR="007048CF" w:rsidRPr="00042DD0" w:rsidRDefault="007048CF" w:rsidP="00A278CB">
      <w:pPr>
        <w:shd w:val="clear" w:color="auto" w:fill="FFFFFF"/>
        <w:spacing w:before="100" w:beforeAutospacing="1" w:after="100" w:afterAutospacing="1" w:line="234" w:lineRule="atLeast"/>
        <w:rPr>
          <w:rFonts w:ascii="Arial" w:eastAsia="Times New Roman" w:hAnsi="Arial" w:cs="Arial"/>
          <w:sz w:val="24"/>
          <w:szCs w:val="24"/>
          <w:u w:val="single"/>
          <w:lang w:eastAsia="en-AU"/>
        </w:rPr>
      </w:pPr>
      <w:r w:rsidRPr="00042DD0">
        <w:rPr>
          <w:rFonts w:ascii="Arial" w:eastAsia="Times New Roman" w:hAnsi="Arial" w:cs="Arial"/>
          <w:sz w:val="24"/>
          <w:szCs w:val="24"/>
          <w:u w:val="single"/>
          <w:lang w:eastAsia="en-AU"/>
        </w:rPr>
        <w:t>Managing Flood Risk</w:t>
      </w:r>
    </w:p>
    <w:p w:rsidR="00355C8B" w:rsidRPr="000D5CDE" w:rsidRDefault="00355C8B"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0D5CDE">
        <w:rPr>
          <w:rFonts w:ascii="Arial" w:eastAsia="Times New Roman" w:hAnsi="Arial" w:cs="Arial"/>
          <w:sz w:val="24"/>
          <w:szCs w:val="24"/>
          <w:lang w:eastAsia="en-AU"/>
        </w:rPr>
        <w:t xml:space="preserve">The Tasmania State Emergency Management Committee recognises the guidance provided by the </w:t>
      </w:r>
      <w:r w:rsidRPr="000D5CDE">
        <w:rPr>
          <w:rFonts w:ascii="Arial" w:eastAsia="Times New Roman" w:hAnsi="Arial" w:cs="Arial"/>
          <w:i/>
          <w:sz w:val="24"/>
          <w:szCs w:val="24"/>
          <w:lang w:eastAsia="en-AU"/>
        </w:rPr>
        <w:t>National Strategy for Disaster Resilience</w:t>
      </w:r>
      <w:r w:rsidRPr="000D5CDE">
        <w:rPr>
          <w:rFonts w:ascii="Arial" w:eastAsia="Times New Roman" w:hAnsi="Arial" w:cs="Arial"/>
          <w:sz w:val="24"/>
          <w:szCs w:val="24"/>
          <w:lang w:eastAsia="en-AU"/>
        </w:rPr>
        <w:t>.  Accordingly, managing the risks associated with flooding in Tasmania is a shared responsibility amongst governments, individuals, businesses and communities.</w:t>
      </w:r>
    </w:p>
    <w:p w:rsidR="00876135" w:rsidRDefault="00876135"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042DD0">
        <w:rPr>
          <w:rFonts w:ascii="Arial" w:eastAsia="Times New Roman" w:hAnsi="Arial" w:cs="Arial"/>
          <w:sz w:val="24"/>
          <w:szCs w:val="24"/>
          <w:lang w:eastAsia="en-AU"/>
        </w:rPr>
        <w:t xml:space="preserve">In </w:t>
      </w:r>
      <w:r w:rsidR="000B1C2B">
        <w:rPr>
          <w:rFonts w:ascii="Arial" w:eastAsia="Times New Roman" w:hAnsi="Arial" w:cs="Arial"/>
          <w:sz w:val="24"/>
          <w:szCs w:val="24"/>
          <w:lang w:eastAsia="en-AU"/>
        </w:rPr>
        <w:t>Tasmania</w:t>
      </w:r>
      <w:r w:rsidRPr="00042DD0">
        <w:rPr>
          <w:rFonts w:ascii="Arial" w:eastAsia="Times New Roman" w:hAnsi="Arial" w:cs="Arial"/>
          <w:sz w:val="24"/>
          <w:szCs w:val="24"/>
          <w:lang w:eastAsia="en-AU"/>
        </w:rPr>
        <w:t xml:space="preserve"> risks associated with emergency</w:t>
      </w:r>
      <w:r w:rsidR="000B1C2B">
        <w:rPr>
          <w:rFonts w:ascii="Arial" w:eastAsia="Times New Roman" w:hAnsi="Arial" w:cs="Arial"/>
          <w:sz w:val="24"/>
          <w:szCs w:val="24"/>
          <w:lang w:eastAsia="en-AU"/>
        </w:rPr>
        <w:t xml:space="preserve"> events are managed by applying</w:t>
      </w:r>
      <w:r w:rsidR="00453C94" w:rsidRPr="00042DD0">
        <w:rPr>
          <w:rFonts w:ascii="Arial" w:eastAsia="Times New Roman" w:hAnsi="Arial" w:cs="Arial"/>
          <w:sz w:val="24"/>
          <w:szCs w:val="24"/>
          <w:lang w:eastAsia="en-AU"/>
        </w:rPr>
        <w:t xml:space="preserve"> </w:t>
      </w:r>
      <w:r w:rsidRPr="00042DD0">
        <w:rPr>
          <w:rFonts w:ascii="Arial" w:eastAsia="Times New Roman" w:hAnsi="Arial" w:cs="Arial"/>
          <w:sz w:val="24"/>
          <w:szCs w:val="24"/>
          <w:lang w:eastAsia="en-AU"/>
        </w:rPr>
        <w:t xml:space="preserve">comprehensive </w:t>
      </w:r>
      <w:r w:rsidR="000B1C2B">
        <w:rPr>
          <w:rFonts w:ascii="Arial" w:eastAsia="Times New Roman" w:hAnsi="Arial" w:cs="Arial"/>
          <w:sz w:val="24"/>
          <w:szCs w:val="24"/>
          <w:lang w:eastAsia="en-AU"/>
        </w:rPr>
        <w:t>and</w:t>
      </w:r>
      <w:r w:rsidRPr="00042DD0">
        <w:rPr>
          <w:rFonts w:ascii="Arial" w:eastAsia="Times New Roman" w:hAnsi="Arial" w:cs="Arial"/>
          <w:sz w:val="24"/>
          <w:szCs w:val="24"/>
          <w:lang w:eastAsia="en-AU"/>
        </w:rPr>
        <w:t xml:space="preserve"> integrated prevention, preparedness, response and recovery controls. These controls are delivered at State, regional and local levels. </w:t>
      </w:r>
    </w:p>
    <w:p w:rsidR="00073EF1" w:rsidRPr="005979E9" w:rsidRDefault="00073EF1"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042DD0">
        <w:rPr>
          <w:rFonts w:ascii="Arial" w:eastAsia="Times New Roman" w:hAnsi="Arial" w:cs="Arial"/>
          <w:sz w:val="24"/>
          <w:szCs w:val="24"/>
          <w:lang w:eastAsia="en-AU"/>
        </w:rPr>
        <w:t>The effectiveness of these controls is reviewed and evaluated through post-incident reviews and on a periodic basis as part of natural disaster risk assessments.</w:t>
      </w:r>
      <w:r w:rsidR="009542C7">
        <w:rPr>
          <w:rFonts w:ascii="Arial" w:eastAsia="Times New Roman" w:hAnsi="Arial" w:cs="Arial"/>
          <w:sz w:val="24"/>
          <w:szCs w:val="24"/>
          <w:lang w:eastAsia="en-AU"/>
        </w:rPr>
        <w:t xml:space="preserve">  </w:t>
      </w:r>
      <w:r w:rsidR="009542C7" w:rsidRPr="005979E9">
        <w:rPr>
          <w:rFonts w:ascii="Arial" w:eastAsia="Times New Roman" w:hAnsi="Arial" w:cs="Arial"/>
          <w:sz w:val="24"/>
          <w:szCs w:val="24"/>
          <w:lang w:eastAsia="en-AU"/>
        </w:rPr>
        <w:t>The SES conducted an after-action review after the June 2016 floods; the recommendations of which are currently being assessed.</w:t>
      </w:r>
      <w:r w:rsidRPr="005979E9">
        <w:rPr>
          <w:rFonts w:ascii="Arial" w:eastAsia="Times New Roman" w:hAnsi="Arial" w:cs="Arial"/>
          <w:sz w:val="24"/>
          <w:szCs w:val="24"/>
          <w:lang w:eastAsia="en-AU"/>
        </w:rPr>
        <w:t xml:space="preserve"> </w:t>
      </w:r>
      <w:r w:rsidR="00A579DD" w:rsidRPr="005979E9">
        <w:rPr>
          <w:rFonts w:ascii="Arial" w:eastAsia="Times New Roman" w:hAnsi="Arial" w:cs="Arial"/>
          <w:sz w:val="24"/>
          <w:szCs w:val="24"/>
          <w:lang w:eastAsia="en-AU"/>
        </w:rPr>
        <w:t>A copy has been provided to the Flood Review team separately.</w:t>
      </w:r>
    </w:p>
    <w:p w:rsidR="00073EF1" w:rsidRPr="00042DD0" w:rsidRDefault="00073EF1"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042DD0">
        <w:rPr>
          <w:rFonts w:ascii="Arial" w:eastAsia="Times New Roman" w:hAnsi="Arial" w:cs="Arial"/>
          <w:sz w:val="24"/>
          <w:szCs w:val="24"/>
          <w:lang w:eastAsia="en-AU"/>
        </w:rPr>
        <w:t xml:space="preserve">The </w:t>
      </w:r>
      <w:r w:rsidRPr="00042DD0">
        <w:rPr>
          <w:rFonts w:ascii="Arial" w:eastAsia="Times New Roman" w:hAnsi="Arial" w:cs="Arial"/>
          <w:i/>
          <w:sz w:val="24"/>
          <w:szCs w:val="24"/>
          <w:lang w:eastAsia="en-AU"/>
        </w:rPr>
        <w:t>2012 Tasmanian State Natural Disaster Risk Assessment</w:t>
      </w:r>
      <w:r w:rsidRPr="00042DD0">
        <w:rPr>
          <w:rFonts w:ascii="Arial" w:eastAsia="Times New Roman" w:hAnsi="Arial" w:cs="Arial"/>
          <w:sz w:val="24"/>
          <w:szCs w:val="24"/>
          <w:lang w:eastAsia="en-AU"/>
        </w:rPr>
        <w:t xml:space="preserve"> evaluated existing state level controls for risks associated with floods, assessed the risks and identified new treatment options for risks that required additional</w:t>
      </w:r>
      <w:r w:rsidR="005E7C55">
        <w:rPr>
          <w:rFonts w:ascii="Arial" w:eastAsia="Times New Roman" w:hAnsi="Arial" w:cs="Arial"/>
          <w:sz w:val="24"/>
          <w:szCs w:val="24"/>
          <w:lang w:eastAsia="en-AU"/>
        </w:rPr>
        <w:t xml:space="preserve"> measures to reduce them </w:t>
      </w:r>
      <w:r w:rsidRPr="00042DD0">
        <w:rPr>
          <w:rFonts w:ascii="Arial" w:eastAsia="Times New Roman" w:hAnsi="Arial" w:cs="Arial"/>
          <w:sz w:val="24"/>
          <w:szCs w:val="24"/>
          <w:lang w:eastAsia="en-AU"/>
        </w:rPr>
        <w:t xml:space="preserve">to tolerable levels. The treatment options were evaluated and the State Emergency Management Committee </w:t>
      </w:r>
      <w:r w:rsidR="00453C94" w:rsidRPr="00042DD0">
        <w:rPr>
          <w:rFonts w:ascii="Arial" w:eastAsia="Times New Roman" w:hAnsi="Arial" w:cs="Arial"/>
          <w:sz w:val="24"/>
          <w:szCs w:val="24"/>
          <w:lang w:eastAsia="en-AU"/>
        </w:rPr>
        <w:t xml:space="preserve">(SEMC) </w:t>
      </w:r>
      <w:r w:rsidRPr="00042DD0">
        <w:rPr>
          <w:rFonts w:ascii="Arial" w:eastAsia="Times New Roman" w:hAnsi="Arial" w:cs="Arial"/>
          <w:sz w:val="24"/>
          <w:szCs w:val="24"/>
          <w:lang w:eastAsia="en-AU"/>
        </w:rPr>
        <w:t xml:space="preserve">approved a number of treatments to form the basis of the </w:t>
      </w:r>
      <w:r w:rsidRPr="00042DD0">
        <w:rPr>
          <w:rFonts w:ascii="Arial" w:eastAsia="Times New Roman" w:hAnsi="Arial" w:cs="Arial"/>
          <w:i/>
          <w:sz w:val="24"/>
          <w:szCs w:val="24"/>
          <w:lang w:eastAsia="en-AU"/>
        </w:rPr>
        <w:t>Tasmanian State Natural Disaster Risk Treatment Plan</w:t>
      </w:r>
      <w:r w:rsidRPr="00042DD0">
        <w:rPr>
          <w:rFonts w:ascii="Arial" w:eastAsia="Times New Roman" w:hAnsi="Arial" w:cs="Arial"/>
          <w:sz w:val="24"/>
          <w:szCs w:val="24"/>
          <w:lang w:eastAsia="en-AU"/>
        </w:rPr>
        <w:t xml:space="preserve">.  </w:t>
      </w:r>
    </w:p>
    <w:p w:rsidR="00073EF1" w:rsidRPr="00042DD0" w:rsidRDefault="00073EF1"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042DD0">
        <w:rPr>
          <w:rFonts w:ascii="Arial" w:eastAsia="Times New Roman" w:hAnsi="Arial" w:cs="Arial"/>
          <w:sz w:val="24"/>
          <w:szCs w:val="24"/>
          <w:lang w:eastAsia="en-AU"/>
        </w:rPr>
        <w:t xml:space="preserve">The </w:t>
      </w:r>
      <w:r w:rsidRPr="00042DD0">
        <w:rPr>
          <w:rFonts w:ascii="Arial" w:eastAsia="Times New Roman" w:hAnsi="Arial" w:cs="Arial"/>
          <w:i/>
          <w:sz w:val="24"/>
          <w:szCs w:val="24"/>
          <w:lang w:eastAsia="en-AU"/>
        </w:rPr>
        <w:t>2016 Tasmanian State Natural Disaster Risk Assessment</w:t>
      </w:r>
      <w:r w:rsidRPr="00042DD0">
        <w:rPr>
          <w:rFonts w:ascii="Arial" w:eastAsia="Times New Roman" w:hAnsi="Arial" w:cs="Arial"/>
          <w:sz w:val="24"/>
          <w:szCs w:val="24"/>
          <w:lang w:eastAsia="en-AU"/>
        </w:rPr>
        <w:t xml:space="preserve"> reassessed the </w:t>
      </w:r>
      <w:r w:rsidR="005E7C55">
        <w:rPr>
          <w:rFonts w:ascii="Arial" w:eastAsia="Times New Roman" w:hAnsi="Arial" w:cs="Arial"/>
          <w:sz w:val="24"/>
          <w:szCs w:val="24"/>
          <w:lang w:eastAsia="en-AU"/>
        </w:rPr>
        <w:t xml:space="preserve">risks and </w:t>
      </w:r>
      <w:r w:rsidRPr="00042DD0">
        <w:rPr>
          <w:rFonts w:ascii="Arial" w:eastAsia="Times New Roman" w:hAnsi="Arial" w:cs="Arial"/>
          <w:sz w:val="24"/>
          <w:szCs w:val="24"/>
          <w:lang w:eastAsia="en-AU"/>
        </w:rPr>
        <w:t xml:space="preserve">existing controls, including implemented treatments arising from 2012, </w:t>
      </w:r>
      <w:r w:rsidR="00453C94" w:rsidRPr="00042DD0">
        <w:rPr>
          <w:rFonts w:ascii="Arial" w:eastAsia="Times New Roman" w:hAnsi="Arial" w:cs="Arial"/>
          <w:sz w:val="24"/>
          <w:szCs w:val="24"/>
          <w:lang w:eastAsia="en-AU"/>
        </w:rPr>
        <w:t xml:space="preserve">and identified additional treatment options to reduce the risks to tolerable levels. The treatment options were once again evaluated and a number of treatments were included into an updated </w:t>
      </w:r>
      <w:r w:rsidR="00453C94" w:rsidRPr="00042DD0">
        <w:rPr>
          <w:rFonts w:ascii="Arial" w:eastAsia="Times New Roman" w:hAnsi="Arial" w:cs="Arial"/>
          <w:i/>
          <w:sz w:val="24"/>
          <w:szCs w:val="24"/>
          <w:lang w:eastAsia="en-AU"/>
        </w:rPr>
        <w:t>Tasmanian State Natural Disaster Risk Treatment Plan</w:t>
      </w:r>
      <w:r w:rsidR="00453C94" w:rsidRPr="00042DD0">
        <w:rPr>
          <w:rFonts w:ascii="Arial" w:eastAsia="Times New Roman" w:hAnsi="Arial" w:cs="Arial"/>
          <w:sz w:val="24"/>
          <w:szCs w:val="24"/>
          <w:lang w:eastAsia="en-AU"/>
        </w:rPr>
        <w:t xml:space="preserve">.   </w:t>
      </w:r>
    </w:p>
    <w:p w:rsidR="007048CF" w:rsidRPr="000D5CDE" w:rsidRDefault="007048CF"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042DD0">
        <w:rPr>
          <w:rFonts w:ascii="Arial" w:eastAsia="Times New Roman" w:hAnsi="Arial" w:cs="Arial"/>
          <w:sz w:val="24"/>
          <w:szCs w:val="24"/>
          <w:lang w:eastAsia="en-AU"/>
        </w:rPr>
        <w:t xml:space="preserve">A number of the flood related treatments contained in the </w:t>
      </w:r>
      <w:r w:rsidRPr="00042DD0">
        <w:rPr>
          <w:rFonts w:ascii="Arial" w:eastAsia="Times New Roman" w:hAnsi="Arial" w:cs="Arial"/>
          <w:i/>
          <w:sz w:val="24"/>
          <w:szCs w:val="24"/>
          <w:lang w:eastAsia="en-AU"/>
        </w:rPr>
        <w:t>Tasmanian State Natural Disaster Risk Treatment Plan</w:t>
      </w:r>
      <w:r w:rsidRPr="00042DD0">
        <w:rPr>
          <w:rFonts w:ascii="Arial" w:eastAsia="Times New Roman" w:hAnsi="Arial" w:cs="Arial"/>
          <w:sz w:val="24"/>
          <w:szCs w:val="24"/>
          <w:lang w:eastAsia="en-AU"/>
        </w:rPr>
        <w:t xml:space="preserve"> were allocated to the SES for implementation. Progress on the implementation of the treatments is monitored by SEMC</w:t>
      </w:r>
      <w:r w:rsidR="00A579DD">
        <w:rPr>
          <w:rFonts w:ascii="Arial" w:eastAsia="Times New Roman" w:hAnsi="Arial" w:cs="Arial"/>
          <w:sz w:val="24"/>
          <w:szCs w:val="24"/>
          <w:lang w:eastAsia="en-AU"/>
        </w:rPr>
        <w:t xml:space="preserve"> and reported upon separately</w:t>
      </w:r>
      <w:r w:rsidRPr="00F73B3D">
        <w:rPr>
          <w:rFonts w:ascii="Arial" w:eastAsia="Times New Roman" w:hAnsi="Arial" w:cs="Arial"/>
          <w:color w:val="FF0000"/>
          <w:sz w:val="24"/>
          <w:szCs w:val="24"/>
          <w:lang w:eastAsia="en-AU"/>
        </w:rPr>
        <w:t>.</w:t>
      </w:r>
      <w:r w:rsidR="000D5CDE">
        <w:rPr>
          <w:rFonts w:ascii="Arial" w:eastAsia="Times New Roman" w:hAnsi="Arial" w:cs="Arial"/>
          <w:color w:val="FF0000"/>
          <w:sz w:val="24"/>
          <w:szCs w:val="24"/>
          <w:lang w:eastAsia="en-AU"/>
        </w:rPr>
        <w:t xml:space="preserve"> </w:t>
      </w:r>
      <w:r w:rsidR="001C3807" w:rsidRPr="000D5CDE">
        <w:rPr>
          <w:rFonts w:ascii="Arial" w:eastAsia="Times New Roman" w:hAnsi="Arial" w:cs="Arial"/>
          <w:sz w:val="24"/>
          <w:szCs w:val="24"/>
          <w:lang w:eastAsia="en-AU"/>
        </w:rPr>
        <w:t xml:space="preserve">The ability of the SES to progress </w:t>
      </w:r>
      <w:r w:rsidR="00F73B3D" w:rsidRPr="000D5CDE">
        <w:rPr>
          <w:rFonts w:ascii="Arial" w:eastAsia="Times New Roman" w:hAnsi="Arial" w:cs="Arial"/>
          <w:sz w:val="24"/>
          <w:szCs w:val="24"/>
          <w:lang w:eastAsia="en-AU"/>
        </w:rPr>
        <w:t xml:space="preserve">significant </w:t>
      </w:r>
      <w:r w:rsidR="001C3807" w:rsidRPr="000D5CDE">
        <w:rPr>
          <w:rFonts w:ascii="Arial" w:eastAsia="Times New Roman" w:hAnsi="Arial" w:cs="Arial"/>
          <w:sz w:val="24"/>
          <w:szCs w:val="24"/>
          <w:lang w:eastAsia="en-AU"/>
        </w:rPr>
        <w:t>bodies of work necessary to address the</w:t>
      </w:r>
      <w:r w:rsidR="000368CD" w:rsidRPr="000D5CDE">
        <w:rPr>
          <w:rFonts w:ascii="Arial" w:eastAsia="Times New Roman" w:hAnsi="Arial" w:cs="Arial"/>
          <w:sz w:val="24"/>
          <w:szCs w:val="24"/>
          <w:lang w:eastAsia="en-AU"/>
        </w:rPr>
        <w:t>se</w:t>
      </w:r>
      <w:r w:rsidR="001C3807" w:rsidRPr="000D5CDE">
        <w:rPr>
          <w:rFonts w:ascii="Arial" w:eastAsia="Times New Roman" w:hAnsi="Arial" w:cs="Arial"/>
          <w:sz w:val="24"/>
          <w:szCs w:val="24"/>
          <w:lang w:eastAsia="en-AU"/>
        </w:rPr>
        <w:t xml:space="preserve"> treatment options is generally dependent on the availability of C</w:t>
      </w:r>
      <w:r w:rsidR="00F73B3D" w:rsidRPr="000D5CDE">
        <w:rPr>
          <w:rFonts w:ascii="Arial" w:eastAsia="Times New Roman" w:hAnsi="Arial" w:cs="Arial"/>
          <w:sz w:val="24"/>
          <w:szCs w:val="24"/>
          <w:lang w:eastAsia="en-AU"/>
        </w:rPr>
        <w:t xml:space="preserve">ommonwealth funding provided by the </w:t>
      </w:r>
      <w:r w:rsidR="00F73B3D" w:rsidRPr="000D5CDE">
        <w:rPr>
          <w:rFonts w:ascii="Arial" w:eastAsia="Times New Roman" w:hAnsi="Arial" w:cs="Arial"/>
          <w:i/>
          <w:sz w:val="24"/>
          <w:szCs w:val="24"/>
          <w:lang w:eastAsia="en-AU"/>
        </w:rPr>
        <w:t>National Partnership Agreement on Natural Disaster Resilience.</w:t>
      </w:r>
    </w:p>
    <w:p w:rsidR="00862E72" w:rsidRDefault="00AA6789"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Pr>
          <w:rFonts w:ascii="Arial" w:eastAsia="Times New Roman" w:hAnsi="Arial" w:cs="Arial"/>
          <w:sz w:val="24"/>
          <w:szCs w:val="24"/>
          <w:lang w:eastAsia="en-AU"/>
        </w:rPr>
        <w:t>L</w:t>
      </w:r>
      <w:r w:rsidR="00862E72">
        <w:rPr>
          <w:rFonts w:ascii="Arial" w:eastAsia="Times New Roman" w:hAnsi="Arial" w:cs="Arial"/>
          <w:sz w:val="24"/>
          <w:szCs w:val="24"/>
          <w:lang w:eastAsia="en-AU"/>
        </w:rPr>
        <w:t>ocal flood related risks and treatments are specified in Municipal level all-hazards risk registers. Treatments are implemented by a range of stakeholders includ</w:t>
      </w:r>
      <w:r w:rsidR="00355C8B">
        <w:rPr>
          <w:rFonts w:ascii="Arial" w:eastAsia="Times New Roman" w:hAnsi="Arial" w:cs="Arial"/>
          <w:sz w:val="24"/>
          <w:szCs w:val="24"/>
          <w:lang w:eastAsia="en-AU"/>
        </w:rPr>
        <w:t>ing Municipal Councils and SES,</w:t>
      </w:r>
      <w:r w:rsidR="00F73B3D">
        <w:rPr>
          <w:rFonts w:ascii="Arial" w:eastAsia="Times New Roman" w:hAnsi="Arial" w:cs="Arial"/>
          <w:sz w:val="24"/>
          <w:szCs w:val="24"/>
          <w:lang w:eastAsia="en-AU"/>
        </w:rPr>
        <w:t xml:space="preserve"> </w:t>
      </w:r>
      <w:r w:rsidR="00862E72">
        <w:rPr>
          <w:rFonts w:ascii="Arial" w:eastAsia="Times New Roman" w:hAnsi="Arial" w:cs="Arial"/>
          <w:sz w:val="24"/>
          <w:szCs w:val="24"/>
          <w:lang w:eastAsia="en-AU"/>
        </w:rPr>
        <w:t>often with support fr</w:t>
      </w:r>
      <w:r w:rsidR="001C3807">
        <w:rPr>
          <w:rFonts w:ascii="Arial" w:eastAsia="Times New Roman" w:hAnsi="Arial" w:cs="Arial"/>
          <w:sz w:val="24"/>
          <w:szCs w:val="24"/>
          <w:lang w:eastAsia="en-AU"/>
        </w:rPr>
        <w:t>om Australi</w:t>
      </w:r>
      <w:r w:rsidR="00F73B3D">
        <w:rPr>
          <w:rFonts w:ascii="Arial" w:eastAsia="Times New Roman" w:hAnsi="Arial" w:cs="Arial"/>
          <w:sz w:val="24"/>
          <w:szCs w:val="24"/>
          <w:lang w:eastAsia="en-AU"/>
        </w:rPr>
        <w:t>an Government grants</w:t>
      </w:r>
      <w:r w:rsidR="001C3807">
        <w:rPr>
          <w:rFonts w:ascii="Arial" w:eastAsia="Times New Roman" w:hAnsi="Arial" w:cs="Arial"/>
          <w:sz w:val="24"/>
          <w:szCs w:val="24"/>
          <w:lang w:eastAsia="en-AU"/>
        </w:rPr>
        <w:t>.</w:t>
      </w:r>
      <w:r w:rsidR="00862E72">
        <w:rPr>
          <w:rFonts w:ascii="Arial" w:eastAsia="Times New Roman" w:hAnsi="Arial" w:cs="Arial"/>
          <w:sz w:val="24"/>
          <w:szCs w:val="24"/>
          <w:lang w:eastAsia="en-AU"/>
        </w:rPr>
        <w:t xml:space="preserve">     </w:t>
      </w:r>
    </w:p>
    <w:p w:rsidR="0089326F" w:rsidRDefault="0089326F"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Pr>
          <w:rFonts w:ascii="Arial" w:eastAsia="Times New Roman" w:hAnsi="Arial" w:cs="Arial"/>
          <w:sz w:val="24"/>
          <w:szCs w:val="24"/>
          <w:lang w:eastAsia="en-AU"/>
        </w:rPr>
        <w:t>To assist with the management of risks at the local level</w:t>
      </w:r>
      <w:r w:rsidR="00AA6789">
        <w:rPr>
          <w:rFonts w:ascii="Arial" w:eastAsia="Times New Roman" w:hAnsi="Arial" w:cs="Arial"/>
          <w:sz w:val="24"/>
          <w:szCs w:val="24"/>
          <w:lang w:eastAsia="en-AU"/>
        </w:rPr>
        <w:t>,</w:t>
      </w:r>
      <w:r>
        <w:rPr>
          <w:rFonts w:ascii="Arial" w:eastAsia="Times New Roman" w:hAnsi="Arial" w:cs="Arial"/>
          <w:sz w:val="24"/>
          <w:szCs w:val="24"/>
          <w:lang w:eastAsia="en-AU"/>
        </w:rPr>
        <w:t xml:space="preserve"> Flood Studies and Floodplain Studies can be conducted to inform the development of risk treatment options that can then be specified in Floodplain Management Plans for implementation. </w:t>
      </w:r>
    </w:p>
    <w:p w:rsidR="0089326F" w:rsidRDefault="0089326F"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Pr>
          <w:rFonts w:ascii="Arial" w:eastAsia="Times New Roman" w:hAnsi="Arial" w:cs="Arial"/>
          <w:sz w:val="24"/>
          <w:szCs w:val="24"/>
          <w:lang w:eastAsia="en-AU"/>
        </w:rPr>
        <w:lastRenderedPageBreak/>
        <w:t>Flood Studies detail the nature of flood scenarios across the landscape</w:t>
      </w:r>
      <w:r w:rsidR="009A738E">
        <w:rPr>
          <w:rFonts w:ascii="Arial" w:eastAsia="Times New Roman" w:hAnsi="Arial" w:cs="Arial"/>
          <w:sz w:val="24"/>
          <w:szCs w:val="24"/>
          <w:lang w:eastAsia="en-AU"/>
        </w:rPr>
        <w:t xml:space="preserve"> an</w:t>
      </w:r>
      <w:r w:rsidR="00AA6789">
        <w:rPr>
          <w:rFonts w:ascii="Arial" w:eastAsia="Times New Roman" w:hAnsi="Arial" w:cs="Arial"/>
          <w:sz w:val="24"/>
          <w:szCs w:val="24"/>
          <w:lang w:eastAsia="en-AU"/>
        </w:rPr>
        <w:t>d</w:t>
      </w:r>
      <w:r>
        <w:rPr>
          <w:rFonts w:ascii="Arial" w:eastAsia="Times New Roman" w:hAnsi="Arial" w:cs="Arial"/>
          <w:sz w:val="24"/>
          <w:szCs w:val="24"/>
          <w:lang w:eastAsia="en-AU"/>
        </w:rPr>
        <w:t xml:space="preserve"> generally</w:t>
      </w:r>
      <w:r w:rsidR="009A738E">
        <w:rPr>
          <w:rFonts w:ascii="Arial" w:eastAsia="Times New Roman" w:hAnsi="Arial" w:cs="Arial"/>
          <w:sz w:val="24"/>
          <w:szCs w:val="24"/>
          <w:lang w:eastAsia="en-AU"/>
        </w:rPr>
        <w:t xml:space="preserve"> include</w:t>
      </w:r>
      <w:r>
        <w:rPr>
          <w:rFonts w:ascii="Arial" w:eastAsia="Times New Roman" w:hAnsi="Arial" w:cs="Arial"/>
          <w:sz w:val="24"/>
          <w:szCs w:val="24"/>
          <w:lang w:eastAsia="en-AU"/>
        </w:rPr>
        <w:t xml:space="preserve"> information on flow rates, heights, peak travel times and peak extents. Flood Studies have been periodically conducted by DPIPWE, Municipal Councils and Hydro Tasmania for numerous water courses across Tasmania, which have generally </w:t>
      </w:r>
      <w:r w:rsidR="00AA6789">
        <w:rPr>
          <w:rFonts w:ascii="Arial" w:eastAsia="Times New Roman" w:hAnsi="Arial" w:cs="Arial"/>
          <w:sz w:val="24"/>
          <w:szCs w:val="24"/>
          <w:lang w:eastAsia="en-AU"/>
        </w:rPr>
        <w:t xml:space="preserve">been </w:t>
      </w:r>
      <w:r>
        <w:rPr>
          <w:rFonts w:ascii="Arial" w:eastAsia="Times New Roman" w:hAnsi="Arial" w:cs="Arial"/>
          <w:sz w:val="24"/>
          <w:szCs w:val="24"/>
          <w:lang w:eastAsia="en-AU"/>
        </w:rPr>
        <w:t>funded with support from Australian Government grants programs.  A list of Flood Stu</w:t>
      </w:r>
      <w:r w:rsidR="0078794B">
        <w:rPr>
          <w:rFonts w:ascii="Arial" w:eastAsia="Times New Roman" w:hAnsi="Arial" w:cs="Arial"/>
          <w:sz w:val="24"/>
          <w:szCs w:val="24"/>
          <w:lang w:eastAsia="en-AU"/>
        </w:rPr>
        <w:t>dies is included as Appendix 1</w:t>
      </w:r>
      <w:r>
        <w:rPr>
          <w:rFonts w:ascii="Arial" w:eastAsia="Times New Roman" w:hAnsi="Arial" w:cs="Arial"/>
          <w:sz w:val="24"/>
          <w:szCs w:val="24"/>
          <w:lang w:eastAsia="en-AU"/>
        </w:rPr>
        <w:t>.</w:t>
      </w:r>
    </w:p>
    <w:p w:rsidR="00862E72" w:rsidRDefault="0089326F"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The information in Flood Studies can be used to assist the development of a Floodplain Management Study. </w:t>
      </w:r>
      <w:r w:rsidR="00AE2F0A">
        <w:rPr>
          <w:rFonts w:ascii="Arial" w:eastAsia="Times New Roman" w:hAnsi="Arial" w:cs="Arial"/>
          <w:sz w:val="24"/>
          <w:szCs w:val="24"/>
          <w:lang w:eastAsia="en-AU"/>
        </w:rPr>
        <w:t xml:space="preserve">Floodplain Management Studies assess the risks associated with flood </w:t>
      </w:r>
      <w:r w:rsidR="009A738E">
        <w:rPr>
          <w:rFonts w:ascii="Arial" w:eastAsia="Times New Roman" w:hAnsi="Arial" w:cs="Arial"/>
          <w:sz w:val="24"/>
          <w:szCs w:val="24"/>
          <w:lang w:eastAsia="en-AU"/>
        </w:rPr>
        <w:t>scenarios</w:t>
      </w:r>
      <w:r w:rsidR="00AE2F0A">
        <w:rPr>
          <w:rFonts w:ascii="Arial" w:eastAsia="Times New Roman" w:hAnsi="Arial" w:cs="Arial"/>
          <w:sz w:val="24"/>
          <w:szCs w:val="24"/>
          <w:lang w:eastAsia="en-AU"/>
        </w:rPr>
        <w:t xml:space="preserve"> and identify options to treat unacceptable levels of risk. The State Emergency Service in partnership </w:t>
      </w:r>
      <w:r w:rsidR="00B50274">
        <w:rPr>
          <w:rFonts w:ascii="Arial" w:eastAsia="Times New Roman" w:hAnsi="Arial" w:cs="Arial"/>
          <w:sz w:val="24"/>
          <w:szCs w:val="24"/>
          <w:lang w:eastAsia="en-AU"/>
        </w:rPr>
        <w:t xml:space="preserve">with the University of Tasmania and RMIT University </w:t>
      </w:r>
      <w:r w:rsidR="00AE2F0A">
        <w:rPr>
          <w:rFonts w:ascii="Arial" w:eastAsia="Times New Roman" w:hAnsi="Arial" w:cs="Arial"/>
          <w:sz w:val="24"/>
          <w:szCs w:val="24"/>
          <w:lang w:eastAsia="en-AU"/>
        </w:rPr>
        <w:t xml:space="preserve">recently completed a pilot project to trial the delivery of a Floodplain Management Study for Huonville and develop a set of guidelines to assist with the delivery of future studies. </w:t>
      </w:r>
      <w:r w:rsidR="00B50274">
        <w:rPr>
          <w:rFonts w:ascii="Arial" w:eastAsia="Times New Roman" w:hAnsi="Arial" w:cs="Arial"/>
          <w:sz w:val="24"/>
          <w:szCs w:val="24"/>
          <w:lang w:eastAsia="en-AU"/>
        </w:rPr>
        <w:t>This project was supported by the Huon Valley Council and actively engaged local stakeholders in the process.</w:t>
      </w:r>
    </w:p>
    <w:p w:rsidR="00AA6789" w:rsidRPr="00042DD0" w:rsidRDefault="00862E72"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To date no Floodplain Management Plans have been developed in Tasmania, instead treatments are currently integrated into all-hazards risk registers and treatment plans.  </w:t>
      </w:r>
    </w:p>
    <w:p w:rsidR="007048CF" w:rsidRPr="00042DD0" w:rsidRDefault="007048CF" w:rsidP="00A278CB">
      <w:pPr>
        <w:shd w:val="clear" w:color="auto" w:fill="FFFFFF"/>
        <w:spacing w:before="100" w:beforeAutospacing="1" w:after="100" w:afterAutospacing="1" w:line="234" w:lineRule="atLeast"/>
        <w:rPr>
          <w:rFonts w:ascii="Arial" w:eastAsia="Times New Roman" w:hAnsi="Arial" w:cs="Arial"/>
          <w:sz w:val="24"/>
          <w:szCs w:val="24"/>
          <w:u w:val="single"/>
          <w:lang w:eastAsia="en-AU"/>
        </w:rPr>
      </w:pPr>
      <w:r w:rsidRPr="00042DD0">
        <w:rPr>
          <w:rFonts w:ascii="Arial" w:eastAsia="Times New Roman" w:hAnsi="Arial" w:cs="Arial"/>
          <w:sz w:val="24"/>
          <w:szCs w:val="24"/>
          <w:u w:val="single"/>
          <w:lang w:eastAsia="en-AU"/>
        </w:rPr>
        <w:t>Plans</w:t>
      </w:r>
    </w:p>
    <w:p w:rsidR="007048CF" w:rsidRDefault="007048CF"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042DD0">
        <w:rPr>
          <w:rFonts w:ascii="Arial" w:eastAsia="Times New Roman" w:hAnsi="Arial" w:cs="Arial"/>
          <w:sz w:val="24"/>
          <w:szCs w:val="24"/>
          <w:lang w:eastAsia="en-AU"/>
        </w:rPr>
        <w:t xml:space="preserve">In Tasmania the </w:t>
      </w:r>
      <w:r w:rsidR="00F73B3D" w:rsidRPr="000D5CDE">
        <w:rPr>
          <w:rFonts w:ascii="Arial" w:eastAsia="Times New Roman" w:hAnsi="Arial" w:cs="Arial"/>
          <w:sz w:val="24"/>
          <w:szCs w:val="24"/>
          <w:lang w:eastAsia="en-AU"/>
        </w:rPr>
        <w:t xml:space="preserve">governance, </w:t>
      </w:r>
      <w:r w:rsidRPr="00042DD0">
        <w:rPr>
          <w:rFonts w:ascii="Arial" w:eastAsia="Times New Roman" w:hAnsi="Arial" w:cs="Arial"/>
          <w:sz w:val="24"/>
          <w:szCs w:val="24"/>
          <w:lang w:eastAsia="en-AU"/>
        </w:rPr>
        <w:t xml:space="preserve">arrangements, roles and responsibilities for managing risks and applying controls are detailed in the </w:t>
      </w:r>
      <w:r w:rsidRPr="00042DD0">
        <w:rPr>
          <w:rFonts w:ascii="Arial" w:eastAsia="Times New Roman" w:hAnsi="Arial" w:cs="Arial"/>
          <w:i/>
          <w:sz w:val="24"/>
          <w:szCs w:val="24"/>
          <w:lang w:eastAsia="en-AU"/>
        </w:rPr>
        <w:t>Emergency Management Act</w:t>
      </w:r>
      <w:r w:rsidRPr="00042DD0">
        <w:rPr>
          <w:rFonts w:ascii="Arial" w:eastAsia="Times New Roman" w:hAnsi="Arial" w:cs="Arial"/>
          <w:sz w:val="24"/>
          <w:szCs w:val="24"/>
          <w:lang w:eastAsia="en-AU"/>
        </w:rPr>
        <w:t xml:space="preserve"> </w:t>
      </w:r>
      <w:r w:rsidRPr="00AE45A3">
        <w:rPr>
          <w:rFonts w:ascii="Arial" w:eastAsia="Times New Roman" w:hAnsi="Arial" w:cs="Arial"/>
          <w:i/>
          <w:sz w:val="24"/>
          <w:szCs w:val="24"/>
          <w:lang w:eastAsia="en-AU"/>
        </w:rPr>
        <w:t>2006</w:t>
      </w:r>
      <w:r w:rsidRPr="00042DD0">
        <w:rPr>
          <w:rFonts w:ascii="Arial" w:eastAsia="Times New Roman" w:hAnsi="Arial" w:cs="Arial"/>
          <w:sz w:val="24"/>
          <w:szCs w:val="24"/>
          <w:lang w:eastAsia="en-AU"/>
        </w:rPr>
        <w:t>, Tasmanian Emergency Management Plan, Regional Emergency Management Plans, Municipal Emergency Management Plans, Special Emergency Management Plans, and other Acts and Regulations.</w:t>
      </w:r>
    </w:p>
    <w:p w:rsidR="00EE7290" w:rsidRDefault="00075691" w:rsidP="00E5492D">
      <w:pPr>
        <w:shd w:val="clear" w:color="auto" w:fill="FFFFFF"/>
        <w:spacing w:before="100" w:beforeAutospacing="1" w:after="100" w:afterAutospacing="1" w:line="234" w:lineRule="atLeast"/>
        <w:jc w:val="both"/>
        <w:rPr>
          <w:rFonts w:ascii="Arial" w:eastAsia="Times New Roman" w:hAnsi="Arial" w:cs="Arial"/>
          <w:b/>
          <w:sz w:val="24"/>
          <w:szCs w:val="24"/>
          <w:lang w:eastAsia="en-AU"/>
        </w:rPr>
      </w:pPr>
      <w:r w:rsidRPr="00042DD0">
        <w:rPr>
          <w:rFonts w:ascii="Arial" w:eastAsia="Times New Roman" w:hAnsi="Arial" w:cs="Arial"/>
          <w:sz w:val="24"/>
          <w:szCs w:val="24"/>
          <w:lang w:eastAsia="en-AU"/>
        </w:rPr>
        <w:t>The nature of the controls and their application is often detailed in additional plans, agreements and other documents. There are a number of plans that can be used to inform and support the response to flood events in Tasmania</w:t>
      </w:r>
      <w:r>
        <w:rPr>
          <w:rFonts w:ascii="Arial" w:eastAsia="Times New Roman" w:hAnsi="Arial" w:cs="Arial"/>
          <w:sz w:val="24"/>
          <w:szCs w:val="24"/>
          <w:lang w:eastAsia="en-AU"/>
        </w:rPr>
        <w:t>, some of which</w:t>
      </w:r>
      <w:r w:rsidRPr="00042DD0">
        <w:rPr>
          <w:rFonts w:ascii="Arial" w:eastAsia="Times New Roman" w:hAnsi="Arial" w:cs="Arial"/>
          <w:sz w:val="24"/>
          <w:szCs w:val="24"/>
          <w:lang w:eastAsia="en-AU"/>
        </w:rPr>
        <w:t xml:space="preserve"> </w:t>
      </w:r>
      <w:r w:rsidR="002929C2">
        <w:rPr>
          <w:rFonts w:ascii="Arial" w:eastAsia="Times New Roman" w:hAnsi="Arial" w:cs="Arial"/>
          <w:sz w:val="24"/>
          <w:szCs w:val="24"/>
          <w:lang w:eastAsia="en-AU"/>
        </w:rPr>
        <w:t xml:space="preserve">are </w:t>
      </w:r>
      <w:r>
        <w:rPr>
          <w:rFonts w:ascii="Arial" w:eastAsia="Times New Roman" w:hAnsi="Arial" w:cs="Arial"/>
          <w:sz w:val="24"/>
          <w:szCs w:val="24"/>
          <w:lang w:eastAsia="en-AU"/>
        </w:rPr>
        <w:t xml:space="preserve">listed in Appendix </w:t>
      </w:r>
      <w:r w:rsidR="00622F7B">
        <w:rPr>
          <w:rFonts w:ascii="Arial" w:eastAsia="Times New Roman" w:hAnsi="Arial" w:cs="Arial"/>
          <w:sz w:val="24"/>
          <w:szCs w:val="24"/>
          <w:lang w:eastAsia="en-AU"/>
        </w:rPr>
        <w:t>2</w:t>
      </w:r>
      <w:r w:rsidRPr="00042DD0">
        <w:rPr>
          <w:rFonts w:ascii="Arial" w:eastAsia="Times New Roman" w:hAnsi="Arial" w:cs="Arial"/>
          <w:sz w:val="24"/>
          <w:szCs w:val="24"/>
          <w:lang w:eastAsia="en-AU"/>
        </w:rPr>
        <w:t>.</w:t>
      </w:r>
    </w:p>
    <w:p w:rsidR="00F2608B" w:rsidRPr="00EE7290" w:rsidRDefault="003E1C53" w:rsidP="00E5492D">
      <w:pPr>
        <w:shd w:val="clear" w:color="auto" w:fill="FFFFFF"/>
        <w:spacing w:before="100" w:beforeAutospacing="1" w:after="100" w:afterAutospacing="1" w:line="234" w:lineRule="atLeast"/>
        <w:jc w:val="both"/>
        <w:rPr>
          <w:rFonts w:ascii="Arial" w:eastAsia="Times New Roman" w:hAnsi="Arial" w:cs="Arial"/>
          <w:b/>
          <w:sz w:val="24"/>
          <w:szCs w:val="24"/>
          <w:lang w:eastAsia="en-AU"/>
        </w:rPr>
      </w:pPr>
      <w:r>
        <w:rPr>
          <w:rFonts w:ascii="Arial" w:eastAsia="Times New Roman" w:hAnsi="Arial" w:cs="Arial"/>
          <w:sz w:val="24"/>
          <w:szCs w:val="24"/>
          <w:lang w:eastAsia="en-AU"/>
        </w:rPr>
        <w:t>The arrangements within the plans are designed to be scalable which allows for flexibility in their implementation</w:t>
      </w:r>
      <w:r w:rsidR="0052602A">
        <w:rPr>
          <w:rFonts w:ascii="Arial" w:eastAsia="Times New Roman" w:hAnsi="Arial" w:cs="Arial"/>
          <w:sz w:val="24"/>
          <w:szCs w:val="24"/>
          <w:lang w:eastAsia="en-AU"/>
        </w:rPr>
        <w:t xml:space="preserve"> to</w:t>
      </w:r>
      <w:r w:rsidR="005D2389">
        <w:rPr>
          <w:rFonts w:ascii="Arial" w:eastAsia="Times New Roman" w:hAnsi="Arial" w:cs="Arial"/>
          <w:sz w:val="24"/>
          <w:szCs w:val="24"/>
          <w:lang w:eastAsia="en-AU"/>
        </w:rPr>
        <w:t xml:space="preserve"> cater for a variety of </w:t>
      </w:r>
      <w:r w:rsidR="0052602A">
        <w:rPr>
          <w:rFonts w:ascii="Arial" w:eastAsia="Times New Roman" w:hAnsi="Arial" w:cs="Arial"/>
          <w:sz w:val="24"/>
          <w:szCs w:val="24"/>
          <w:lang w:eastAsia="en-AU"/>
        </w:rPr>
        <w:t>p</w:t>
      </w:r>
      <w:r w:rsidR="00A579DD">
        <w:rPr>
          <w:rFonts w:ascii="Arial" w:eastAsia="Times New Roman" w:hAnsi="Arial" w:cs="Arial"/>
          <w:sz w:val="24"/>
          <w:szCs w:val="24"/>
          <w:lang w:eastAsia="en-AU"/>
        </w:rPr>
        <w:t>otential operational situations.</w:t>
      </w:r>
    </w:p>
    <w:p w:rsidR="003E1C53" w:rsidRDefault="0052602A"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Pr>
          <w:rFonts w:ascii="Arial" w:eastAsia="Times New Roman" w:hAnsi="Arial" w:cs="Arial"/>
          <w:sz w:val="24"/>
          <w:szCs w:val="24"/>
          <w:lang w:eastAsia="en-AU"/>
        </w:rPr>
        <w:t>SES supports Regional Emergency Management Committees and Municipal Emergency Management Coordinators to ensure plans are reviewed regularly and remain contemporary.</w:t>
      </w:r>
    </w:p>
    <w:p w:rsidR="00953D8F" w:rsidRPr="004D57CF" w:rsidRDefault="00953D8F"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4D57CF">
        <w:rPr>
          <w:rFonts w:ascii="Arial" w:eastAsia="Times New Roman" w:hAnsi="Arial" w:cs="Arial"/>
          <w:sz w:val="24"/>
          <w:szCs w:val="24"/>
          <w:lang w:eastAsia="en-AU"/>
        </w:rPr>
        <w:t>In the context of the June floods, the plans across the effected regions were assessed as satisfactory, though clearly the North West region was less practiced in the execution of the plans (versus Launceston / North where flood risk is a major facet of the Community focus</w:t>
      </w:r>
      <w:r w:rsidR="00AA6789" w:rsidRPr="004D57CF">
        <w:rPr>
          <w:rFonts w:ascii="Arial" w:eastAsia="Times New Roman" w:hAnsi="Arial" w:cs="Arial"/>
          <w:sz w:val="24"/>
          <w:szCs w:val="24"/>
          <w:lang w:eastAsia="en-AU"/>
        </w:rPr>
        <w:t>)</w:t>
      </w:r>
      <w:r w:rsidRPr="004D57CF">
        <w:rPr>
          <w:rFonts w:ascii="Arial" w:eastAsia="Times New Roman" w:hAnsi="Arial" w:cs="Arial"/>
          <w:sz w:val="24"/>
          <w:szCs w:val="24"/>
          <w:lang w:eastAsia="en-AU"/>
        </w:rPr>
        <w:t>. Additionally, internal SES plans such as regional readiness strategies, media engagement and State Headquarters SOPs w</w:t>
      </w:r>
      <w:r w:rsidR="00EA0974" w:rsidRPr="004D57CF">
        <w:rPr>
          <w:rFonts w:ascii="Arial" w:eastAsia="Times New Roman" w:hAnsi="Arial" w:cs="Arial"/>
          <w:sz w:val="24"/>
          <w:szCs w:val="24"/>
          <w:lang w:eastAsia="en-AU"/>
        </w:rPr>
        <w:t>ere generally assessed as robust.</w:t>
      </w:r>
    </w:p>
    <w:p w:rsidR="00AE45A3" w:rsidRDefault="00AE45A3" w:rsidP="00A278CB">
      <w:pPr>
        <w:shd w:val="clear" w:color="auto" w:fill="FFFFFF"/>
        <w:spacing w:before="100" w:beforeAutospacing="1" w:after="100" w:afterAutospacing="1" w:line="234" w:lineRule="atLeast"/>
        <w:rPr>
          <w:rFonts w:ascii="Arial" w:eastAsia="Times New Roman" w:hAnsi="Arial" w:cs="Arial"/>
          <w:sz w:val="24"/>
          <w:szCs w:val="24"/>
          <w:u w:val="single"/>
          <w:lang w:eastAsia="en-AU"/>
        </w:rPr>
      </w:pPr>
    </w:p>
    <w:p w:rsidR="00E5492D" w:rsidRDefault="00E5492D" w:rsidP="00A278CB">
      <w:pPr>
        <w:shd w:val="clear" w:color="auto" w:fill="FFFFFF"/>
        <w:spacing w:before="100" w:beforeAutospacing="1" w:after="100" w:afterAutospacing="1" w:line="234" w:lineRule="atLeast"/>
        <w:rPr>
          <w:rFonts w:ascii="Arial" w:eastAsia="Times New Roman" w:hAnsi="Arial" w:cs="Arial"/>
          <w:sz w:val="24"/>
          <w:szCs w:val="24"/>
          <w:u w:val="single"/>
          <w:lang w:eastAsia="en-AU"/>
        </w:rPr>
      </w:pPr>
    </w:p>
    <w:p w:rsidR="007048CF" w:rsidRPr="00042DD0" w:rsidRDefault="007048CF" w:rsidP="00A278CB">
      <w:pPr>
        <w:shd w:val="clear" w:color="auto" w:fill="FFFFFF"/>
        <w:spacing w:before="100" w:beforeAutospacing="1" w:after="100" w:afterAutospacing="1" w:line="234" w:lineRule="atLeast"/>
        <w:rPr>
          <w:rFonts w:ascii="Arial" w:eastAsia="Times New Roman" w:hAnsi="Arial" w:cs="Arial"/>
          <w:sz w:val="24"/>
          <w:szCs w:val="24"/>
          <w:u w:val="single"/>
          <w:lang w:eastAsia="en-AU"/>
        </w:rPr>
      </w:pPr>
      <w:r w:rsidRPr="00042DD0">
        <w:rPr>
          <w:rFonts w:ascii="Arial" w:eastAsia="Times New Roman" w:hAnsi="Arial" w:cs="Arial"/>
          <w:sz w:val="24"/>
          <w:szCs w:val="24"/>
          <w:u w:val="single"/>
          <w:lang w:eastAsia="en-AU"/>
        </w:rPr>
        <w:lastRenderedPageBreak/>
        <w:t>Preparedness</w:t>
      </w:r>
    </w:p>
    <w:p w:rsidR="007048CF" w:rsidRPr="00042DD0" w:rsidRDefault="007048CF"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042DD0">
        <w:rPr>
          <w:rFonts w:ascii="Arial" w:eastAsia="Times New Roman" w:hAnsi="Arial" w:cs="Arial"/>
          <w:sz w:val="24"/>
          <w:szCs w:val="24"/>
          <w:lang w:eastAsia="en-AU"/>
        </w:rPr>
        <w:t xml:space="preserve">All organisations exposed to flood related risks and with a role in flood response and recovery should undertake appropriate measures to adequately prepare for a flood event. </w:t>
      </w:r>
    </w:p>
    <w:p w:rsidR="004A7D26" w:rsidRPr="00385161" w:rsidRDefault="004A7D26"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385161">
        <w:rPr>
          <w:rFonts w:ascii="Arial" w:eastAsia="Times New Roman" w:hAnsi="Arial" w:cs="Arial"/>
          <w:sz w:val="24"/>
          <w:szCs w:val="24"/>
          <w:lang w:eastAsia="en-AU"/>
        </w:rPr>
        <w:t>Each Management Authority and Support Agency maintains a range of specific capabilities aligned to their roles and resp</w:t>
      </w:r>
      <w:r w:rsidR="003E1C53" w:rsidRPr="00385161">
        <w:rPr>
          <w:rFonts w:ascii="Arial" w:eastAsia="Times New Roman" w:hAnsi="Arial" w:cs="Arial"/>
          <w:sz w:val="24"/>
          <w:szCs w:val="24"/>
          <w:lang w:eastAsia="en-AU"/>
        </w:rPr>
        <w:t>onsibilities. Each organisation</w:t>
      </w:r>
      <w:r w:rsidRPr="00385161">
        <w:rPr>
          <w:rFonts w:ascii="Arial" w:eastAsia="Times New Roman" w:hAnsi="Arial" w:cs="Arial"/>
          <w:sz w:val="24"/>
          <w:szCs w:val="24"/>
          <w:lang w:eastAsia="en-AU"/>
        </w:rPr>
        <w:t xml:space="preserve"> is responsible for ensuring appropriate workforce planning, development and training programs and asset management systems are in place</w:t>
      </w:r>
      <w:r w:rsidR="000B1C2B" w:rsidRPr="00385161">
        <w:rPr>
          <w:rFonts w:ascii="Arial" w:eastAsia="Times New Roman" w:hAnsi="Arial" w:cs="Arial"/>
          <w:sz w:val="24"/>
          <w:szCs w:val="24"/>
          <w:lang w:eastAsia="en-AU"/>
        </w:rPr>
        <w:t xml:space="preserve"> to maintain their capabilities</w:t>
      </w:r>
      <w:r w:rsidRPr="00385161">
        <w:rPr>
          <w:rFonts w:ascii="Arial" w:eastAsia="Times New Roman" w:hAnsi="Arial" w:cs="Arial"/>
          <w:sz w:val="24"/>
          <w:szCs w:val="24"/>
          <w:lang w:eastAsia="en-AU"/>
        </w:rPr>
        <w:t>.</w:t>
      </w:r>
    </w:p>
    <w:p w:rsidR="004A7D26" w:rsidRPr="000D5CDE" w:rsidRDefault="004A7D26"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385161">
        <w:rPr>
          <w:rFonts w:ascii="Arial" w:eastAsia="Times New Roman" w:hAnsi="Arial" w:cs="Arial"/>
          <w:sz w:val="24"/>
          <w:szCs w:val="24"/>
          <w:lang w:eastAsia="en-AU"/>
        </w:rPr>
        <w:t>The SES maintains the following capabilities</w:t>
      </w:r>
      <w:r w:rsidR="000D5CDE">
        <w:rPr>
          <w:rFonts w:ascii="Arial" w:eastAsia="Times New Roman" w:hAnsi="Arial" w:cs="Arial"/>
          <w:sz w:val="24"/>
          <w:szCs w:val="24"/>
          <w:lang w:eastAsia="en-AU"/>
        </w:rPr>
        <w:t xml:space="preserve"> </w:t>
      </w:r>
      <w:r w:rsidR="000D5CDE" w:rsidRPr="000D5CDE">
        <w:rPr>
          <w:rFonts w:ascii="Arial" w:eastAsia="Times New Roman" w:hAnsi="Arial" w:cs="Arial"/>
          <w:sz w:val="24"/>
          <w:szCs w:val="24"/>
          <w:lang w:eastAsia="en-AU"/>
        </w:rPr>
        <w:t>(</w:t>
      </w:r>
      <w:r w:rsidRPr="000D5CDE">
        <w:rPr>
          <w:rFonts w:ascii="Arial" w:eastAsia="Times New Roman" w:hAnsi="Arial" w:cs="Arial"/>
          <w:sz w:val="24"/>
          <w:szCs w:val="24"/>
          <w:lang w:eastAsia="en-AU"/>
        </w:rPr>
        <w:t xml:space="preserve">with funding support </w:t>
      </w:r>
      <w:r w:rsidR="00385161" w:rsidRPr="000D5CDE">
        <w:rPr>
          <w:rFonts w:ascii="Arial" w:eastAsia="Times New Roman" w:hAnsi="Arial" w:cs="Arial"/>
          <w:sz w:val="24"/>
          <w:szCs w:val="24"/>
          <w:lang w:eastAsia="en-AU"/>
        </w:rPr>
        <w:t xml:space="preserve">provided </w:t>
      </w:r>
      <w:r w:rsidRPr="000D5CDE">
        <w:rPr>
          <w:rFonts w:ascii="Arial" w:eastAsia="Times New Roman" w:hAnsi="Arial" w:cs="Arial"/>
          <w:sz w:val="24"/>
          <w:szCs w:val="24"/>
          <w:lang w:eastAsia="en-AU"/>
        </w:rPr>
        <w:t>from Municipal Councils</w:t>
      </w:r>
      <w:r w:rsidR="00042B12" w:rsidRPr="000D5CDE">
        <w:rPr>
          <w:rFonts w:ascii="Arial" w:eastAsia="Times New Roman" w:hAnsi="Arial" w:cs="Arial"/>
          <w:sz w:val="24"/>
          <w:szCs w:val="24"/>
          <w:lang w:eastAsia="en-AU"/>
        </w:rPr>
        <w:t xml:space="preserve"> to most municipal volunteer units</w:t>
      </w:r>
      <w:r w:rsidR="000D5CDE" w:rsidRPr="000D5CDE">
        <w:rPr>
          <w:rFonts w:ascii="Arial" w:eastAsia="Times New Roman" w:hAnsi="Arial" w:cs="Arial"/>
          <w:sz w:val="24"/>
          <w:szCs w:val="24"/>
          <w:lang w:eastAsia="en-AU"/>
        </w:rPr>
        <w:t>):</w:t>
      </w:r>
    </w:p>
    <w:p w:rsidR="004A7D26" w:rsidRPr="00385161" w:rsidRDefault="004A7D26" w:rsidP="00E5492D">
      <w:pPr>
        <w:pStyle w:val="ListParagraph"/>
        <w:numPr>
          <w:ilvl w:val="0"/>
          <w:numId w:val="63"/>
        </w:numPr>
        <w:shd w:val="clear" w:color="auto" w:fill="FFFFFF"/>
        <w:spacing w:before="100" w:beforeAutospacing="1" w:after="120" w:line="234" w:lineRule="atLeast"/>
        <w:ind w:left="357" w:hanging="357"/>
        <w:contextualSpacing w:val="0"/>
        <w:jc w:val="both"/>
        <w:rPr>
          <w:rFonts w:ascii="Arial" w:eastAsia="Times New Roman" w:hAnsi="Arial" w:cs="Arial"/>
          <w:sz w:val="24"/>
          <w:szCs w:val="24"/>
          <w:lang w:eastAsia="en-AU"/>
        </w:rPr>
      </w:pPr>
      <w:r w:rsidRPr="00385161">
        <w:rPr>
          <w:rFonts w:ascii="Arial" w:eastAsia="Times New Roman" w:hAnsi="Arial" w:cs="Arial"/>
          <w:sz w:val="24"/>
          <w:szCs w:val="24"/>
          <w:lang w:eastAsia="en-AU"/>
        </w:rPr>
        <w:t>132 500 Request For Assistance telephone service supported by TASPOL Radio Dispatch Services. People who are deaf or have a hearing impairment or speech impairment can contact the SES via the National Relay Service. People who do not speak English can contact the SES via the National Transla</w:t>
      </w:r>
      <w:r w:rsidR="005E7C55" w:rsidRPr="00385161">
        <w:rPr>
          <w:rFonts w:ascii="Arial" w:eastAsia="Times New Roman" w:hAnsi="Arial" w:cs="Arial"/>
          <w:sz w:val="24"/>
          <w:szCs w:val="24"/>
          <w:lang w:eastAsia="en-AU"/>
        </w:rPr>
        <w:t>ting and Interpretation Service;</w:t>
      </w:r>
      <w:r w:rsidRPr="00385161">
        <w:rPr>
          <w:rFonts w:ascii="Arial" w:eastAsia="Times New Roman" w:hAnsi="Arial" w:cs="Arial"/>
          <w:sz w:val="24"/>
          <w:szCs w:val="24"/>
          <w:lang w:eastAsia="en-AU"/>
        </w:rPr>
        <w:t xml:space="preserve">  </w:t>
      </w:r>
    </w:p>
    <w:p w:rsidR="004A7D26" w:rsidRPr="00385161" w:rsidRDefault="004A7D26" w:rsidP="00E5492D">
      <w:pPr>
        <w:pStyle w:val="ListParagraph"/>
        <w:numPr>
          <w:ilvl w:val="0"/>
          <w:numId w:val="63"/>
        </w:numPr>
        <w:shd w:val="clear" w:color="auto" w:fill="FFFFFF"/>
        <w:spacing w:before="100" w:beforeAutospacing="1" w:after="120" w:line="234" w:lineRule="atLeast"/>
        <w:ind w:left="357" w:hanging="357"/>
        <w:contextualSpacing w:val="0"/>
        <w:jc w:val="both"/>
        <w:rPr>
          <w:rFonts w:ascii="Arial" w:eastAsia="Times New Roman" w:hAnsi="Arial" w:cs="Arial"/>
          <w:sz w:val="24"/>
          <w:szCs w:val="24"/>
          <w:lang w:eastAsia="en-AU"/>
        </w:rPr>
      </w:pPr>
      <w:r w:rsidRPr="00385161">
        <w:rPr>
          <w:rFonts w:ascii="Arial" w:eastAsia="Times New Roman" w:hAnsi="Arial" w:cs="Arial"/>
          <w:sz w:val="24"/>
          <w:szCs w:val="24"/>
          <w:lang w:eastAsia="en-AU"/>
        </w:rPr>
        <w:t>Website, Facebook Page and Twitter account</w:t>
      </w:r>
      <w:r w:rsidR="005E7C55" w:rsidRPr="00385161">
        <w:rPr>
          <w:rFonts w:ascii="Arial" w:eastAsia="Times New Roman" w:hAnsi="Arial" w:cs="Arial"/>
          <w:sz w:val="24"/>
          <w:szCs w:val="24"/>
          <w:lang w:eastAsia="en-AU"/>
        </w:rPr>
        <w:t>;</w:t>
      </w:r>
    </w:p>
    <w:p w:rsidR="004A7D26" w:rsidRPr="00385161" w:rsidRDefault="004A7D26" w:rsidP="00E5492D">
      <w:pPr>
        <w:pStyle w:val="ListParagraph"/>
        <w:numPr>
          <w:ilvl w:val="0"/>
          <w:numId w:val="63"/>
        </w:numPr>
        <w:shd w:val="clear" w:color="auto" w:fill="FFFFFF"/>
        <w:spacing w:before="100" w:beforeAutospacing="1" w:after="120" w:line="234" w:lineRule="atLeast"/>
        <w:ind w:left="357" w:hanging="357"/>
        <w:contextualSpacing w:val="0"/>
        <w:jc w:val="both"/>
        <w:rPr>
          <w:rFonts w:ascii="Arial" w:eastAsia="Times New Roman" w:hAnsi="Arial" w:cs="Arial"/>
          <w:sz w:val="24"/>
          <w:szCs w:val="24"/>
          <w:lang w:eastAsia="en-AU"/>
        </w:rPr>
      </w:pPr>
      <w:r w:rsidRPr="00385161">
        <w:rPr>
          <w:rFonts w:ascii="Arial" w:eastAsia="Times New Roman" w:hAnsi="Arial" w:cs="Arial"/>
          <w:sz w:val="24"/>
          <w:szCs w:val="24"/>
          <w:lang w:eastAsia="en-AU"/>
        </w:rPr>
        <w:t xml:space="preserve">3 </w:t>
      </w:r>
      <w:r w:rsidR="00A579DD" w:rsidRPr="00385161">
        <w:rPr>
          <w:rFonts w:ascii="Arial" w:eastAsia="Times New Roman" w:hAnsi="Arial" w:cs="Arial"/>
          <w:sz w:val="24"/>
          <w:szCs w:val="24"/>
          <w:lang w:eastAsia="en-AU"/>
        </w:rPr>
        <w:t xml:space="preserve">x </w:t>
      </w:r>
      <w:r w:rsidRPr="00385161">
        <w:rPr>
          <w:rFonts w:ascii="Arial" w:eastAsia="Times New Roman" w:hAnsi="Arial" w:cs="Arial"/>
          <w:sz w:val="24"/>
          <w:szCs w:val="24"/>
          <w:lang w:eastAsia="en-AU"/>
        </w:rPr>
        <w:t>Regional ICC Facilities with back up electricity generators</w:t>
      </w:r>
      <w:r w:rsidR="005E7C55" w:rsidRPr="00385161">
        <w:rPr>
          <w:rFonts w:ascii="Arial" w:eastAsia="Times New Roman" w:hAnsi="Arial" w:cs="Arial"/>
          <w:sz w:val="24"/>
          <w:szCs w:val="24"/>
          <w:lang w:eastAsia="en-AU"/>
        </w:rPr>
        <w:t>;</w:t>
      </w:r>
    </w:p>
    <w:p w:rsidR="004A7D26" w:rsidRPr="00385161" w:rsidRDefault="004A7D26" w:rsidP="00E5492D">
      <w:pPr>
        <w:pStyle w:val="ListParagraph"/>
        <w:numPr>
          <w:ilvl w:val="0"/>
          <w:numId w:val="63"/>
        </w:numPr>
        <w:shd w:val="clear" w:color="auto" w:fill="FFFFFF"/>
        <w:spacing w:before="100" w:beforeAutospacing="1" w:after="120" w:line="234" w:lineRule="atLeast"/>
        <w:ind w:left="357" w:hanging="357"/>
        <w:contextualSpacing w:val="0"/>
        <w:jc w:val="both"/>
        <w:rPr>
          <w:rFonts w:ascii="Arial" w:eastAsia="Times New Roman" w:hAnsi="Arial" w:cs="Arial"/>
          <w:sz w:val="24"/>
          <w:szCs w:val="24"/>
          <w:lang w:eastAsia="en-AU"/>
        </w:rPr>
      </w:pPr>
      <w:r w:rsidRPr="00385161">
        <w:rPr>
          <w:rFonts w:ascii="Arial" w:eastAsia="Times New Roman" w:hAnsi="Arial" w:cs="Arial"/>
          <w:sz w:val="24"/>
          <w:szCs w:val="24"/>
          <w:lang w:eastAsia="en-AU"/>
        </w:rPr>
        <w:t>Personnel trained in IMT roles, including specialised Regional IMT Units</w:t>
      </w:r>
      <w:r w:rsidR="005E7C55" w:rsidRPr="00385161">
        <w:rPr>
          <w:rFonts w:ascii="Arial" w:eastAsia="Times New Roman" w:hAnsi="Arial" w:cs="Arial"/>
          <w:sz w:val="24"/>
          <w:szCs w:val="24"/>
          <w:lang w:eastAsia="en-AU"/>
        </w:rPr>
        <w:t>;</w:t>
      </w:r>
    </w:p>
    <w:p w:rsidR="004A7D26" w:rsidRPr="00385161" w:rsidRDefault="00EE7290" w:rsidP="00E5492D">
      <w:pPr>
        <w:pStyle w:val="ListParagraph"/>
        <w:numPr>
          <w:ilvl w:val="0"/>
          <w:numId w:val="63"/>
        </w:numPr>
        <w:shd w:val="clear" w:color="auto" w:fill="FFFFFF"/>
        <w:spacing w:before="100" w:beforeAutospacing="1" w:after="120" w:line="234" w:lineRule="atLeast"/>
        <w:ind w:left="357" w:hanging="357"/>
        <w:contextualSpacing w:val="0"/>
        <w:jc w:val="both"/>
        <w:rPr>
          <w:rFonts w:ascii="Arial" w:eastAsia="Times New Roman" w:hAnsi="Arial" w:cs="Arial"/>
          <w:sz w:val="24"/>
          <w:szCs w:val="24"/>
          <w:lang w:eastAsia="en-AU"/>
        </w:rPr>
      </w:pPr>
      <w:r w:rsidRPr="00385161">
        <w:rPr>
          <w:rFonts w:ascii="Arial" w:eastAsia="Times New Roman" w:hAnsi="Arial" w:cs="Arial"/>
          <w:sz w:val="24"/>
          <w:szCs w:val="24"/>
          <w:lang w:eastAsia="en-AU"/>
        </w:rPr>
        <w:t>29</w:t>
      </w:r>
      <w:r w:rsidR="004A7D26" w:rsidRPr="00385161">
        <w:rPr>
          <w:rFonts w:ascii="Arial" w:eastAsia="Times New Roman" w:hAnsi="Arial" w:cs="Arial"/>
          <w:sz w:val="24"/>
          <w:szCs w:val="24"/>
          <w:lang w:eastAsia="en-AU"/>
        </w:rPr>
        <w:t xml:space="preserve"> Municipal and Regional Units with personnel trained in general rescue, and storm and flood response; and equippe</w:t>
      </w:r>
      <w:r w:rsidR="005E7C55" w:rsidRPr="00385161">
        <w:rPr>
          <w:rFonts w:ascii="Arial" w:eastAsia="Times New Roman" w:hAnsi="Arial" w:cs="Arial"/>
          <w:sz w:val="24"/>
          <w:szCs w:val="24"/>
          <w:lang w:eastAsia="en-AU"/>
        </w:rPr>
        <w:t>d with flood response equipment; and</w:t>
      </w:r>
    </w:p>
    <w:p w:rsidR="004A7D26" w:rsidRPr="00385161" w:rsidRDefault="004A7D26" w:rsidP="00E5492D">
      <w:pPr>
        <w:pStyle w:val="ListParagraph"/>
        <w:numPr>
          <w:ilvl w:val="0"/>
          <w:numId w:val="63"/>
        </w:numPr>
        <w:shd w:val="clear" w:color="auto" w:fill="FFFFFF"/>
        <w:spacing w:before="100" w:beforeAutospacing="1" w:after="120" w:line="234" w:lineRule="atLeast"/>
        <w:ind w:left="357" w:hanging="357"/>
        <w:contextualSpacing w:val="0"/>
        <w:jc w:val="both"/>
        <w:rPr>
          <w:rFonts w:ascii="Arial" w:eastAsia="Times New Roman" w:hAnsi="Arial" w:cs="Arial"/>
          <w:sz w:val="24"/>
          <w:szCs w:val="24"/>
          <w:lang w:eastAsia="en-AU"/>
        </w:rPr>
      </w:pPr>
      <w:r w:rsidRPr="00385161">
        <w:rPr>
          <w:rFonts w:ascii="Arial" w:eastAsia="Times New Roman" w:hAnsi="Arial" w:cs="Arial"/>
          <w:sz w:val="24"/>
          <w:szCs w:val="24"/>
          <w:lang w:eastAsia="en-AU"/>
        </w:rPr>
        <w:t>Stockpiles of flood response consumables including sand and sandbags</w:t>
      </w:r>
      <w:r w:rsidR="005E7C55" w:rsidRPr="00385161">
        <w:rPr>
          <w:rFonts w:ascii="Arial" w:eastAsia="Times New Roman" w:hAnsi="Arial" w:cs="Arial"/>
          <w:sz w:val="24"/>
          <w:szCs w:val="24"/>
          <w:lang w:eastAsia="en-AU"/>
        </w:rPr>
        <w:t>.</w:t>
      </w:r>
    </w:p>
    <w:p w:rsidR="00042DD0" w:rsidRPr="00385161" w:rsidRDefault="00042DD0"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385161">
        <w:rPr>
          <w:rFonts w:ascii="Arial" w:eastAsia="Times New Roman" w:hAnsi="Arial" w:cs="Arial"/>
          <w:sz w:val="24"/>
          <w:szCs w:val="24"/>
          <w:lang w:eastAsia="en-AU"/>
        </w:rPr>
        <w:t>The SES</w:t>
      </w:r>
      <w:r w:rsidR="00A278CB" w:rsidRPr="00385161">
        <w:rPr>
          <w:rFonts w:ascii="Arial" w:eastAsia="Times New Roman" w:hAnsi="Arial" w:cs="Arial"/>
          <w:sz w:val="24"/>
          <w:szCs w:val="24"/>
          <w:lang w:eastAsia="en-AU"/>
        </w:rPr>
        <w:t xml:space="preserve"> response</w:t>
      </w:r>
      <w:r w:rsidRPr="00385161">
        <w:rPr>
          <w:rFonts w:ascii="Arial" w:eastAsia="Times New Roman" w:hAnsi="Arial" w:cs="Arial"/>
          <w:sz w:val="24"/>
          <w:szCs w:val="24"/>
          <w:lang w:eastAsia="en-AU"/>
        </w:rPr>
        <w:t xml:space="preserve"> capabilities work in concert with other capabilities maintained by the Bureau of Meteorology, Municipal Councils, Tasmania Police, Tasmania Fire Service, DPFEM, DPIPWE, DPAC, Dam Operators</w:t>
      </w:r>
      <w:r w:rsidR="00A278CB" w:rsidRPr="00385161">
        <w:rPr>
          <w:rFonts w:ascii="Arial" w:eastAsia="Times New Roman" w:hAnsi="Arial" w:cs="Arial"/>
          <w:sz w:val="24"/>
          <w:szCs w:val="24"/>
          <w:lang w:eastAsia="en-AU"/>
        </w:rPr>
        <w:t>, DHHS, Tasmanian Health Service, Ambulance Tasmania and a range of other organisations.</w:t>
      </w:r>
      <w:r w:rsidRPr="00385161">
        <w:rPr>
          <w:rFonts w:ascii="Arial" w:eastAsia="Times New Roman" w:hAnsi="Arial" w:cs="Arial"/>
          <w:sz w:val="24"/>
          <w:szCs w:val="24"/>
          <w:lang w:eastAsia="en-AU"/>
        </w:rPr>
        <w:t xml:space="preserve"> </w:t>
      </w:r>
    </w:p>
    <w:p w:rsidR="004A7D26" w:rsidRPr="00042DD0" w:rsidRDefault="004A7D26" w:rsidP="00E5492D">
      <w:pPr>
        <w:pStyle w:val="NumberedBody2"/>
        <w:numPr>
          <w:ilvl w:val="0"/>
          <w:numId w:val="0"/>
        </w:numPr>
        <w:spacing w:before="100" w:beforeAutospacing="1" w:after="100" w:afterAutospacing="1"/>
        <w:jc w:val="both"/>
        <w:rPr>
          <w:rFonts w:ascii="Arial" w:hAnsi="Arial" w:cs="Arial"/>
          <w:sz w:val="24"/>
        </w:rPr>
      </w:pPr>
      <w:r w:rsidRPr="00042DD0">
        <w:rPr>
          <w:rFonts w:ascii="Arial" w:hAnsi="Arial" w:cs="Arial"/>
          <w:sz w:val="24"/>
        </w:rPr>
        <w:t xml:space="preserve">Between September and November each year Tasmanian Government Agencies prepare a consolidated State of Readiness Report that is presented to Cabinet by the State Controller and TFS Chief Officer and is provided to the Australian Attorney General’s Department. The report focuses on Public information; Planning, exercises and plans; Technical and hardware </w:t>
      </w:r>
      <w:r w:rsidR="00A579DD">
        <w:rPr>
          <w:rFonts w:ascii="Arial" w:hAnsi="Arial" w:cs="Arial"/>
          <w:sz w:val="24"/>
        </w:rPr>
        <w:t>capability improvements; o</w:t>
      </w:r>
      <w:r w:rsidR="00EE7290">
        <w:rPr>
          <w:rFonts w:ascii="Arial" w:hAnsi="Arial" w:cs="Arial"/>
          <w:sz w:val="24"/>
        </w:rPr>
        <w:t>rganis</w:t>
      </w:r>
      <w:r w:rsidRPr="00042DD0">
        <w:rPr>
          <w:rFonts w:ascii="Arial" w:hAnsi="Arial" w:cs="Arial"/>
          <w:sz w:val="24"/>
        </w:rPr>
        <w:t>ation</w:t>
      </w:r>
      <w:r w:rsidR="00A579DD">
        <w:rPr>
          <w:rFonts w:ascii="Arial" w:hAnsi="Arial" w:cs="Arial"/>
          <w:sz w:val="24"/>
        </w:rPr>
        <w:t>al and structural changes; and p</w:t>
      </w:r>
      <w:r w:rsidRPr="00042DD0">
        <w:rPr>
          <w:rFonts w:ascii="Arial" w:hAnsi="Arial" w:cs="Arial"/>
          <w:sz w:val="24"/>
        </w:rPr>
        <w:t xml:space="preserve">eople aspects. </w:t>
      </w:r>
    </w:p>
    <w:p w:rsidR="004A7D26" w:rsidRDefault="004A7D26" w:rsidP="00E5492D">
      <w:pPr>
        <w:pStyle w:val="NumberedBody2"/>
        <w:numPr>
          <w:ilvl w:val="0"/>
          <w:numId w:val="0"/>
        </w:numPr>
        <w:jc w:val="both"/>
        <w:rPr>
          <w:rFonts w:ascii="Arial" w:hAnsi="Arial" w:cs="Arial"/>
          <w:sz w:val="24"/>
        </w:rPr>
      </w:pPr>
      <w:r w:rsidRPr="00042DD0">
        <w:rPr>
          <w:rFonts w:ascii="Arial" w:hAnsi="Arial" w:cs="Arial"/>
          <w:sz w:val="24"/>
        </w:rPr>
        <w:t xml:space="preserve">The SES in conjunction with other key stakeholders including the Bureau of Meteorology, Launceston City Council, Launceston Flood Authority and TASPOL periodically conduct a major exercise in the “Wet Feet” series to test preparedness, response and recovery arrangements against a major flood scenario in the </w:t>
      </w:r>
      <w:r w:rsidR="00953D8F">
        <w:rPr>
          <w:rFonts w:ascii="Arial" w:hAnsi="Arial" w:cs="Arial"/>
          <w:sz w:val="24"/>
        </w:rPr>
        <w:t xml:space="preserve">Launceston City area. </w:t>
      </w:r>
      <w:r w:rsidRPr="00042DD0">
        <w:rPr>
          <w:rFonts w:ascii="Arial" w:hAnsi="Arial" w:cs="Arial"/>
          <w:sz w:val="24"/>
        </w:rPr>
        <w:t>These exercises test a range of mu</w:t>
      </w:r>
      <w:r w:rsidR="00953D8F">
        <w:rPr>
          <w:rFonts w:ascii="Arial" w:hAnsi="Arial" w:cs="Arial"/>
          <w:sz w:val="24"/>
        </w:rPr>
        <w:t>l</w:t>
      </w:r>
      <w:r w:rsidRPr="00042DD0">
        <w:rPr>
          <w:rFonts w:ascii="Arial" w:hAnsi="Arial" w:cs="Arial"/>
          <w:sz w:val="24"/>
        </w:rPr>
        <w:t>ti-agency and internal agency arrangements and capabilities at state, regional and local levels.</w:t>
      </w:r>
    </w:p>
    <w:p w:rsidR="00E81BFD" w:rsidRDefault="00E81BFD" w:rsidP="00A278CB">
      <w:pPr>
        <w:pStyle w:val="NumberedBody2"/>
        <w:numPr>
          <w:ilvl w:val="0"/>
          <w:numId w:val="0"/>
        </w:numPr>
        <w:rPr>
          <w:rFonts w:ascii="Arial" w:hAnsi="Arial" w:cs="Arial"/>
          <w:sz w:val="24"/>
        </w:rPr>
      </w:pPr>
    </w:p>
    <w:p w:rsidR="00B57663" w:rsidRDefault="00B57663" w:rsidP="00E5492D">
      <w:pPr>
        <w:pStyle w:val="NumberedBody2"/>
        <w:numPr>
          <w:ilvl w:val="0"/>
          <w:numId w:val="0"/>
        </w:numPr>
        <w:jc w:val="both"/>
        <w:rPr>
          <w:rFonts w:ascii="Arial" w:hAnsi="Arial" w:cs="Arial"/>
          <w:sz w:val="24"/>
        </w:rPr>
      </w:pPr>
      <w:r>
        <w:rPr>
          <w:rFonts w:ascii="Arial" w:hAnsi="Arial" w:cs="Arial"/>
          <w:sz w:val="24"/>
        </w:rPr>
        <w:t>The SES is continuing to work with Councils and the Bureau of Meteorology to identify appropriate levels for the issue of warnings and to refine trigger points for evacuation.  In recent years flood studies have been dependent on Commonwealth funding provided through the Natural Disaster Resilience Program.</w:t>
      </w:r>
    </w:p>
    <w:p w:rsidR="00EA0974" w:rsidRPr="004D57CF" w:rsidRDefault="00EA0974" w:rsidP="00E5492D">
      <w:pPr>
        <w:pStyle w:val="NumberedBody2"/>
        <w:numPr>
          <w:ilvl w:val="0"/>
          <w:numId w:val="0"/>
        </w:numPr>
        <w:jc w:val="both"/>
        <w:rPr>
          <w:rFonts w:ascii="Arial" w:hAnsi="Arial" w:cs="Arial"/>
          <w:sz w:val="24"/>
        </w:rPr>
      </w:pPr>
      <w:r w:rsidRPr="004D57CF">
        <w:rPr>
          <w:rFonts w:ascii="Arial" w:hAnsi="Arial" w:cs="Arial"/>
          <w:sz w:val="24"/>
        </w:rPr>
        <w:t xml:space="preserve">Specific to the flood event, SES preparedness was assessed as satisfactory. In the North and South, teams were identified, postured and resourced appropriately to the forecasted threat. The North West was </w:t>
      </w:r>
      <w:r w:rsidR="00E81BFD">
        <w:rPr>
          <w:rFonts w:ascii="Arial" w:hAnsi="Arial" w:cs="Arial"/>
          <w:sz w:val="24"/>
        </w:rPr>
        <w:t>not postured to the same extent</w:t>
      </w:r>
      <w:r w:rsidRPr="004D57CF">
        <w:rPr>
          <w:rFonts w:ascii="Arial" w:hAnsi="Arial" w:cs="Arial"/>
          <w:sz w:val="24"/>
        </w:rPr>
        <w:t xml:space="preserve"> and was warned out for a largely support role to the North based on the forecast. Additionally, NW teams were fully committed to an unrelated search and rescue prior to the flood event at Latrobe, and fatigue was an issue that required close management.</w:t>
      </w:r>
    </w:p>
    <w:p w:rsidR="007048CF" w:rsidRPr="00042DD0" w:rsidRDefault="007048CF" w:rsidP="00A278CB">
      <w:pPr>
        <w:shd w:val="clear" w:color="auto" w:fill="FFFFFF"/>
        <w:spacing w:before="100" w:beforeAutospacing="1" w:after="100" w:afterAutospacing="1" w:line="234" w:lineRule="atLeast"/>
        <w:rPr>
          <w:rFonts w:ascii="Arial" w:eastAsia="Times New Roman" w:hAnsi="Arial" w:cs="Arial"/>
          <w:sz w:val="24"/>
          <w:szCs w:val="24"/>
          <w:u w:val="single"/>
          <w:lang w:eastAsia="en-AU"/>
        </w:rPr>
      </w:pPr>
      <w:r w:rsidRPr="00042DD0">
        <w:rPr>
          <w:rFonts w:ascii="Arial" w:eastAsia="Times New Roman" w:hAnsi="Arial" w:cs="Arial"/>
          <w:sz w:val="24"/>
          <w:szCs w:val="24"/>
          <w:u w:val="single"/>
          <w:lang w:eastAsia="en-AU"/>
        </w:rPr>
        <w:t>Levee Systems</w:t>
      </w:r>
    </w:p>
    <w:p w:rsidR="00313F14" w:rsidRPr="00042DD0" w:rsidRDefault="007F6438"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042DD0">
        <w:rPr>
          <w:rFonts w:ascii="Arial" w:eastAsia="Times New Roman" w:hAnsi="Arial" w:cs="Arial"/>
          <w:sz w:val="24"/>
          <w:szCs w:val="24"/>
          <w:lang w:eastAsia="en-AU"/>
        </w:rPr>
        <w:t xml:space="preserve">The Longford Levee System, Launceston Levee System and Forth </w:t>
      </w:r>
      <w:r w:rsidR="000B1C2B">
        <w:rPr>
          <w:rFonts w:ascii="Arial" w:eastAsia="Times New Roman" w:hAnsi="Arial" w:cs="Arial"/>
          <w:sz w:val="24"/>
          <w:szCs w:val="24"/>
          <w:lang w:eastAsia="en-AU"/>
        </w:rPr>
        <w:t>f</w:t>
      </w:r>
      <w:r w:rsidRPr="00042DD0">
        <w:rPr>
          <w:rFonts w:ascii="Arial" w:eastAsia="Times New Roman" w:hAnsi="Arial" w:cs="Arial"/>
          <w:sz w:val="24"/>
          <w:szCs w:val="24"/>
          <w:lang w:eastAsia="en-AU"/>
        </w:rPr>
        <w:t>lood stop</w:t>
      </w:r>
      <w:r w:rsidR="000B1C2B">
        <w:rPr>
          <w:rFonts w:ascii="Arial" w:eastAsia="Times New Roman" w:hAnsi="Arial" w:cs="Arial"/>
          <w:sz w:val="24"/>
          <w:szCs w:val="24"/>
          <w:lang w:eastAsia="en-AU"/>
        </w:rPr>
        <w:t xml:space="preserve"> b</w:t>
      </w:r>
      <w:r w:rsidRPr="00042DD0">
        <w:rPr>
          <w:rFonts w:ascii="Arial" w:eastAsia="Times New Roman" w:hAnsi="Arial" w:cs="Arial"/>
          <w:sz w:val="24"/>
          <w:szCs w:val="24"/>
          <w:lang w:eastAsia="en-AU"/>
        </w:rPr>
        <w:t>arrier were all activated during the June 2016 flood events by the Northern Midlands, Launceston City and Central Coast Councils.</w:t>
      </w:r>
      <w:r w:rsidR="00953D8F">
        <w:rPr>
          <w:rFonts w:ascii="Arial" w:eastAsia="Times New Roman" w:hAnsi="Arial" w:cs="Arial"/>
          <w:sz w:val="24"/>
          <w:szCs w:val="24"/>
          <w:lang w:eastAsia="en-AU"/>
        </w:rPr>
        <w:t xml:space="preserve"> </w:t>
      </w:r>
      <w:r w:rsidR="003906FA">
        <w:rPr>
          <w:rFonts w:ascii="Arial" w:eastAsia="Times New Roman" w:hAnsi="Arial" w:cs="Arial"/>
          <w:sz w:val="24"/>
          <w:szCs w:val="24"/>
          <w:lang w:eastAsia="en-AU"/>
        </w:rPr>
        <w:t>The SES will defer to the relevant Councils to provide comment on the effectiveness of the levee s</w:t>
      </w:r>
      <w:r w:rsidR="00953D8F">
        <w:rPr>
          <w:rFonts w:ascii="Arial" w:eastAsia="Times New Roman" w:hAnsi="Arial" w:cs="Arial"/>
          <w:sz w:val="24"/>
          <w:szCs w:val="24"/>
          <w:lang w:eastAsia="en-AU"/>
        </w:rPr>
        <w:t xml:space="preserve">ystems during the June Floods. </w:t>
      </w:r>
      <w:r w:rsidR="003906FA">
        <w:rPr>
          <w:rFonts w:ascii="Arial" w:eastAsia="Times New Roman" w:hAnsi="Arial" w:cs="Arial"/>
          <w:sz w:val="24"/>
          <w:szCs w:val="24"/>
          <w:lang w:eastAsia="en-AU"/>
        </w:rPr>
        <w:t>F</w:t>
      </w:r>
      <w:r w:rsidR="00313F14">
        <w:rPr>
          <w:rFonts w:ascii="Arial" w:eastAsia="Times New Roman" w:hAnsi="Arial" w:cs="Arial"/>
          <w:sz w:val="24"/>
          <w:szCs w:val="24"/>
          <w:lang w:eastAsia="en-AU"/>
        </w:rPr>
        <w:t>lood intelligence obtained after the June floods will inform any future reviews of the levee systems.</w:t>
      </w:r>
    </w:p>
    <w:p w:rsidR="00876135" w:rsidRPr="00042DD0" w:rsidRDefault="007F6438"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042DD0">
        <w:rPr>
          <w:rFonts w:ascii="Arial" w:eastAsia="Times New Roman" w:hAnsi="Arial" w:cs="Arial"/>
          <w:sz w:val="24"/>
          <w:szCs w:val="24"/>
          <w:lang w:eastAsia="en-AU"/>
        </w:rPr>
        <w:t>The Bushfire and Natural Hazard</w:t>
      </w:r>
      <w:r w:rsidR="00574255">
        <w:rPr>
          <w:rFonts w:ascii="Arial" w:eastAsia="Times New Roman" w:hAnsi="Arial" w:cs="Arial"/>
          <w:sz w:val="24"/>
          <w:szCs w:val="24"/>
          <w:lang w:eastAsia="en-AU"/>
        </w:rPr>
        <w:t>s Cooperative Research Centre is</w:t>
      </w:r>
      <w:r w:rsidRPr="00042DD0">
        <w:rPr>
          <w:rFonts w:ascii="Arial" w:eastAsia="Times New Roman" w:hAnsi="Arial" w:cs="Arial"/>
          <w:sz w:val="24"/>
          <w:szCs w:val="24"/>
          <w:lang w:eastAsia="en-AU"/>
        </w:rPr>
        <w:t xml:space="preserve"> conducting a review of the economic costs and benefits of the Launceston Levee </w:t>
      </w:r>
      <w:r w:rsidR="00073EF1" w:rsidRPr="00042DD0">
        <w:rPr>
          <w:rFonts w:ascii="Arial" w:eastAsia="Times New Roman" w:hAnsi="Arial" w:cs="Arial"/>
          <w:sz w:val="24"/>
          <w:szCs w:val="24"/>
          <w:lang w:eastAsia="en-AU"/>
        </w:rPr>
        <w:t xml:space="preserve">System </w:t>
      </w:r>
      <w:r w:rsidRPr="00042DD0">
        <w:rPr>
          <w:rFonts w:ascii="Arial" w:eastAsia="Times New Roman" w:hAnsi="Arial" w:cs="Arial"/>
          <w:sz w:val="24"/>
          <w:szCs w:val="24"/>
          <w:lang w:eastAsia="en-AU"/>
        </w:rPr>
        <w:t>given its construction cost of around $30M that was financed by the Launceston City Council and grants from the Tasmanian Government and Australian Government.</w:t>
      </w:r>
    </w:p>
    <w:p w:rsidR="006720A3" w:rsidRPr="00042DD0" w:rsidRDefault="006720A3" w:rsidP="00E5492D">
      <w:pPr>
        <w:shd w:val="clear" w:color="auto" w:fill="FFFFFF"/>
        <w:spacing w:before="100" w:beforeAutospacing="1" w:after="100" w:afterAutospacing="1" w:line="234" w:lineRule="atLeast"/>
        <w:jc w:val="both"/>
        <w:rPr>
          <w:rFonts w:ascii="Arial" w:eastAsia="Times New Roman" w:hAnsi="Arial" w:cs="Arial"/>
          <w:b/>
          <w:sz w:val="24"/>
          <w:szCs w:val="24"/>
          <w:lang w:eastAsia="en-AU"/>
        </w:rPr>
      </w:pPr>
      <w:r w:rsidRPr="00042DD0">
        <w:rPr>
          <w:rFonts w:ascii="Arial" w:eastAsia="Times New Roman" w:hAnsi="Arial" w:cs="Arial"/>
          <w:b/>
          <w:sz w:val="24"/>
          <w:szCs w:val="24"/>
          <w:lang w:eastAsia="en-AU"/>
        </w:rPr>
        <w:t>Community preparation, resilience and awareness, including awareness of insurance matters, relating to major flood events in Tasmania.</w:t>
      </w:r>
    </w:p>
    <w:p w:rsidR="00042DD0" w:rsidRDefault="00042DD0" w:rsidP="00E5492D">
      <w:pPr>
        <w:pStyle w:val="NumberedBody2"/>
        <w:numPr>
          <w:ilvl w:val="0"/>
          <w:numId w:val="0"/>
        </w:numPr>
        <w:spacing w:before="100" w:beforeAutospacing="1" w:after="100" w:afterAutospacing="1"/>
        <w:jc w:val="both"/>
        <w:rPr>
          <w:rFonts w:ascii="Arial" w:hAnsi="Arial" w:cs="Arial"/>
          <w:sz w:val="24"/>
        </w:rPr>
      </w:pPr>
      <w:r w:rsidRPr="00042DD0">
        <w:rPr>
          <w:rFonts w:ascii="Arial" w:hAnsi="Arial" w:cs="Arial"/>
          <w:sz w:val="24"/>
        </w:rPr>
        <w:t xml:space="preserve">SES and Municipal Councils are primarily responsible for delivering community awareness and education </w:t>
      </w:r>
      <w:r w:rsidRPr="000D5CDE">
        <w:rPr>
          <w:rFonts w:ascii="Arial" w:hAnsi="Arial" w:cs="Arial"/>
          <w:sz w:val="24"/>
        </w:rPr>
        <w:t>programs</w:t>
      </w:r>
      <w:r w:rsidR="00A00501" w:rsidRPr="000D5CDE">
        <w:rPr>
          <w:rFonts w:ascii="Arial" w:hAnsi="Arial" w:cs="Arial"/>
          <w:sz w:val="24"/>
        </w:rPr>
        <w:t xml:space="preserve"> relating to flood</w:t>
      </w:r>
      <w:r w:rsidRPr="000D5CDE">
        <w:rPr>
          <w:rFonts w:ascii="Arial" w:hAnsi="Arial" w:cs="Arial"/>
          <w:sz w:val="24"/>
        </w:rPr>
        <w:t xml:space="preserve">. </w:t>
      </w:r>
      <w:r w:rsidRPr="00042DD0">
        <w:rPr>
          <w:rFonts w:ascii="Arial" w:hAnsi="Arial" w:cs="Arial"/>
          <w:sz w:val="24"/>
        </w:rPr>
        <w:t>These programs are aligned with the National Strategy for Disaster Resilience, SEMC Strategic Directions Framework 2013-2018, and national initiatives and campaigns such as FloodSafe.</w:t>
      </w:r>
    </w:p>
    <w:p w:rsidR="005E7C55" w:rsidRPr="00042DD0" w:rsidRDefault="005E7C55" w:rsidP="00E5492D">
      <w:pPr>
        <w:pStyle w:val="NumberedBody2"/>
        <w:numPr>
          <w:ilvl w:val="0"/>
          <w:numId w:val="0"/>
        </w:numPr>
        <w:spacing w:before="100" w:beforeAutospacing="1" w:after="100" w:afterAutospacing="1"/>
        <w:jc w:val="both"/>
        <w:rPr>
          <w:rFonts w:ascii="Arial" w:hAnsi="Arial" w:cs="Arial"/>
          <w:sz w:val="24"/>
        </w:rPr>
      </w:pPr>
      <w:r w:rsidRPr="00042DD0">
        <w:rPr>
          <w:rFonts w:ascii="Arial" w:hAnsi="Arial" w:cs="Arial"/>
          <w:sz w:val="24"/>
        </w:rPr>
        <w:t xml:space="preserve">SES is actively engaged at national and state levels to develop </w:t>
      </w:r>
      <w:r>
        <w:rPr>
          <w:rFonts w:ascii="Arial" w:hAnsi="Arial" w:cs="Arial"/>
          <w:sz w:val="24"/>
        </w:rPr>
        <w:t xml:space="preserve">and deliver </w:t>
      </w:r>
      <w:r w:rsidRPr="00042DD0">
        <w:rPr>
          <w:rFonts w:ascii="Arial" w:hAnsi="Arial" w:cs="Arial"/>
          <w:sz w:val="24"/>
        </w:rPr>
        <w:t xml:space="preserve">national </w:t>
      </w:r>
      <w:r w:rsidRPr="000D5CDE">
        <w:rPr>
          <w:rFonts w:ascii="Arial" w:hAnsi="Arial" w:cs="Arial"/>
          <w:sz w:val="24"/>
        </w:rPr>
        <w:t>best practice community flood re</w:t>
      </w:r>
      <w:r w:rsidR="00626D73" w:rsidRPr="000D5CDE">
        <w:rPr>
          <w:rFonts w:ascii="Arial" w:hAnsi="Arial" w:cs="Arial"/>
          <w:sz w:val="24"/>
        </w:rPr>
        <w:t>silience and awareness programs, but lacks some capacity in this area</w:t>
      </w:r>
      <w:r w:rsidR="000D5CDE" w:rsidRPr="000D5CDE">
        <w:rPr>
          <w:rFonts w:ascii="Arial" w:hAnsi="Arial" w:cs="Arial"/>
          <w:sz w:val="24"/>
        </w:rPr>
        <w:t>;</w:t>
      </w:r>
      <w:r w:rsidR="00626D73" w:rsidRPr="000D5CDE">
        <w:rPr>
          <w:rFonts w:ascii="Arial" w:hAnsi="Arial" w:cs="Arial"/>
          <w:sz w:val="24"/>
        </w:rPr>
        <w:t xml:space="preserve"> particularl</w:t>
      </w:r>
      <w:r w:rsidR="000D5CDE" w:rsidRPr="000D5CDE">
        <w:rPr>
          <w:rFonts w:ascii="Arial" w:hAnsi="Arial" w:cs="Arial"/>
          <w:sz w:val="24"/>
        </w:rPr>
        <w:t xml:space="preserve">y at regional or local levels. </w:t>
      </w:r>
      <w:r w:rsidR="00626D73" w:rsidRPr="000D5CDE">
        <w:rPr>
          <w:rFonts w:ascii="Arial" w:hAnsi="Arial" w:cs="Arial"/>
          <w:sz w:val="24"/>
        </w:rPr>
        <w:t xml:space="preserve">The proposal under the Emergency Management Reforms Project for </w:t>
      </w:r>
      <w:r w:rsidR="000D5CDE" w:rsidRPr="000D5CDE">
        <w:rPr>
          <w:rFonts w:ascii="Arial" w:hAnsi="Arial" w:cs="Arial"/>
          <w:sz w:val="24"/>
        </w:rPr>
        <w:t>additional</w:t>
      </w:r>
      <w:r w:rsidR="00626D73" w:rsidRPr="000D5CDE">
        <w:rPr>
          <w:rFonts w:ascii="Arial" w:hAnsi="Arial" w:cs="Arial"/>
          <w:sz w:val="24"/>
        </w:rPr>
        <w:t xml:space="preserve"> human resources to deliver community development and community protection planning specifically for hazards such as flood an</w:t>
      </w:r>
      <w:r w:rsidR="000D5CDE" w:rsidRPr="000D5CDE">
        <w:rPr>
          <w:rFonts w:ascii="Arial" w:hAnsi="Arial" w:cs="Arial"/>
          <w:sz w:val="24"/>
        </w:rPr>
        <w:t xml:space="preserve">d storm is strongly supported. </w:t>
      </w:r>
      <w:r w:rsidR="00626D73" w:rsidRPr="000D5CDE">
        <w:rPr>
          <w:rFonts w:ascii="Arial" w:hAnsi="Arial" w:cs="Arial"/>
          <w:sz w:val="24"/>
        </w:rPr>
        <w:t>This follows the successes of equivalent resources within the TFS who have delivered community development and protection planning for the bushfire hazard since 2012.</w:t>
      </w:r>
      <w:r w:rsidRPr="000D5CDE">
        <w:rPr>
          <w:rFonts w:ascii="Arial" w:hAnsi="Arial" w:cs="Arial"/>
          <w:sz w:val="24"/>
        </w:rPr>
        <w:t xml:space="preserve"> </w:t>
      </w:r>
    </w:p>
    <w:p w:rsidR="003906FA" w:rsidRDefault="00042DD0" w:rsidP="00E5492D">
      <w:pPr>
        <w:pStyle w:val="NumberedBody2"/>
        <w:numPr>
          <w:ilvl w:val="0"/>
          <w:numId w:val="0"/>
        </w:numPr>
        <w:spacing w:before="100" w:beforeAutospacing="1" w:after="100" w:afterAutospacing="1"/>
        <w:jc w:val="both"/>
        <w:rPr>
          <w:rFonts w:ascii="Arial" w:hAnsi="Arial" w:cs="Arial"/>
          <w:sz w:val="24"/>
        </w:rPr>
      </w:pPr>
      <w:r w:rsidRPr="00042DD0">
        <w:rPr>
          <w:rFonts w:ascii="Arial" w:hAnsi="Arial" w:cs="Arial"/>
          <w:sz w:val="24"/>
        </w:rPr>
        <w:t>Launceston City Council and Northern Midlands Council have ongoing community education programs for Launceston and Longford that focus on flood awareness; household preparedness</w:t>
      </w:r>
      <w:r w:rsidR="003906FA">
        <w:rPr>
          <w:rFonts w:ascii="Arial" w:hAnsi="Arial" w:cs="Arial"/>
          <w:sz w:val="24"/>
        </w:rPr>
        <w:t xml:space="preserve">, response and recovery advice </w:t>
      </w:r>
      <w:r w:rsidRPr="00042DD0">
        <w:rPr>
          <w:rFonts w:ascii="Arial" w:hAnsi="Arial" w:cs="Arial"/>
          <w:sz w:val="24"/>
        </w:rPr>
        <w:t>and information on the levees’ operation and evacuation arrangements in place of those communities.</w:t>
      </w:r>
      <w:r w:rsidR="00953D8F">
        <w:rPr>
          <w:rFonts w:ascii="Arial" w:hAnsi="Arial" w:cs="Arial"/>
          <w:sz w:val="24"/>
        </w:rPr>
        <w:t xml:space="preserve"> </w:t>
      </w:r>
      <w:r w:rsidR="003906FA">
        <w:rPr>
          <w:rFonts w:ascii="Arial" w:hAnsi="Arial" w:cs="Arial"/>
          <w:sz w:val="24"/>
        </w:rPr>
        <w:t>The effectiveness of awareness programs has been demonstrated by an increase in proactive behavio</w:t>
      </w:r>
      <w:r w:rsidR="0078663B">
        <w:rPr>
          <w:rFonts w:ascii="Arial" w:hAnsi="Arial" w:cs="Arial"/>
          <w:sz w:val="24"/>
        </w:rPr>
        <w:t xml:space="preserve">ur of residents and business owners </w:t>
      </w:r>
      <w:r w:rsidR="00953D8F">
        <w:rPr>
          <w:rFonts w:ascii="Arial" w:hAnsi="Arial" w:cs="Arial"/>
          <w:sz w:val="24"/>
        </w:rPr>
        <w:t>(</w:t>
      </w:r>
      <w:r w:rsidR="0078663B">
        <w:rPr>
          <w:rFonts w:ascii="Arial" w:hAnsi="Arial" w:cs="Arial"/>
          <w:sz w:val="24"/>
        </w:rPr>
        <w:t>e.g. an increase in the number of requests for sandbags well in advance of flooding</w:t>
      </w:r>
      <w:r w:rsidR="00953D8F">
        <w:rPr>
          <w:rFonts w:ascii="Arial" w:hAnsi="Arial" w:cs="Arial"/>
          <w:sz w:val="24"/>
        </w:rPr>
        <w:t>)</w:t>
      </w:r>
      <w:r w:rsidR="0078663B">
        <w:rPr>
          <w:rFonts w:ascii="Arial" w:hAnsi="Arial" w:cs="Arial"/>
          <w:sz w:val="24"/>
        </w:rPr>
        <w:t>.</w:t>
      </w:r>
    </w:p>
    <w:p w:rsidR="00330C6F" w:rsidRDefault="00330C6F" w:rsidP="00E5492D">
      <w:pPr>
        <w:pStyle w:val="NumberedBody2"/>
        <w:numPr>
          <w:ilvl w:val="0"/>
          <w:numId w:val="0"/>
        </w:numPr>
        <w:spacing w:before="100" w:beforeAutospacing="1" w:after="100" w:afterAutospacing="1"/>
        <w:jc w:val="both"/>
        <w:rPr>
          <w:rFonts w:ascii="Arial" w:hAnsi="Arial" w:cs="Arial"/>
          <w:sz w:val="24"/>
        </w:rPr>
      </w:pPr>
      <w:r>
        <w:rPr>
          <w:rFonts w:ascii="Arial" w:hAnsi="Arial" w:cs="Arial"/>
          <w:sz w:val="24"/>
        </w:rPr>
        <w:t>The SES Northern Regional Manager has recommended raising awareness of r</w:t>
      </w:r>
      <w:r w:rsidRPr="00330C6F">
        <w:rPr>
          <w:rFonts w:ascii="Arial" w:hAnsi="Arial" w:cs="Arial"/>
          <w:sz w:val="24"/>
        </w:rPr>
        <w:t>esponsibility</w:t>
      </w:r>
      <w:r>
        <w:rPr>
          <w:rFonts w:ascii="Arial" w:hAnsi="Arial" w:cs="Arial"/>
          <w:sz w:val="24"/>
        </w:rPr>
        <w:t>, roles and arrangements</w:t>
      </w:r>
      <w:r w:rsidR="00626D73">
        <w:rPr>
          <w:rFonts w:ascii="Arial" w:hAnsi="Arial" w:cs="Arial"/>
          <w:sz w:val="24"/>
        </w:rPr>
        <w:t xml:space="preserve"> for </w:t>
      </w:r>
      <w:r w:rsidR="00626D73" w:rsidRPr="000D5CDE">
        <w:rPr>
          <w:rFonts w:ascii="Arial" w:hAnsi="Arial" w:cs="Arial"/>
          <w:sz w:val="24"/>
        </w:rPr>
        <w:t>flood prone areas</w:t>
      </w:r>
      <w:r w:rsidR="00953D8F" w:rsidRPr="000D5CDE">
        <w:rPr>
          <w:rFonts w:ascii="Arial" w:hAnsi="Arial" w:cs="Arial"/>
          <w:sz w:val="24"/>
        </w:rPr>
        <w:t xml:space="preserve">. </w:t>
      </w:r>
      <w:r w:rsidRPr="00330C6F">
        <w:rPr>
          <w:rFonts w:ascii="Arial" w:hAnsi="Arial" w:cs="Arial"/>
          <w:sz w:val="24"/>
        </w:rPr>
        <w:t>Counc</w:t>
      </w:r>
      <w:r>
        <w:rPr>
          <w:rFonts w:ascii="Arial" w:hAnsi="Arial" w:cs="Arial"/>
          <w:sz w:val="24"/>
        </w:rPr>
        <w:t>ils in some rural areas in the North h</w:t>
      </w:r>
      <w:r w:rsidR="00885846">
        <w:rPr>
          <w:rFonts w:ascii="Arial" w:hAnsi="Arial" w:cs="Arial"/>
          <w:sz w:val="24"/>
        </w:rPr>
        <w:t>ave advised that some confusion</w:t>
      </w:r>
      <w:r>
        <w:rPr>
          <w:rFonts w:ascii="Arial" w:hAnsi="Arial" w:cs="Arial"/>
          <w:sz w:val="24"/>
        </w:rPr>
        <w:t xml:space="preserve"> exists</w:t>
      </w:r>
      <w:r w:rsidRPr="00330C6F">
        <w:rPr>
          <w:rFonts w:ascii="Arial" w:hAnsi="Arial" w:cs="Arial"/>
          <w:sz w:val="24"/>
        </w:rPr>
        <w:t xml:space="preserve"> regarding these matters with the view to seeking clarity into the future.</w:t>
      </w:r>
    </w:p>
    <w:p w:rsidR="00042DD0" w:rsidRDefault="0078663B" w:rsidP="00E5492D">
      <w:pPr>
        <w:pStyle w:val="NumberedBody2"/>
        <w:numPr>
          <w:ilvl w:val="0"/>
          <w:numId w:val="0"/>
        </w:numPr>
        <w:spacing w:before="100" w:beforeAutospacing="1" w:after="100" w:afterAutospacing="1"/>
        <w:jc w:val="both"/>
        <w:rPr>
          <w:rFonts w:ascii="Arial" w:hAnsi="Arial" w:cs="Arial"/>
          <w:sz w:val="24"/>
        </w:rPr>
      </w:pPr>
      <w:r>
        <w:rPr>
          <w:rFonts w:ascii="Arial" w:hAnsi="Arial" w:cs="Arial"/>
          <w:sz w:val="24"/>
        </w:rPr>
        <w:t>C</w:t>
      </w:r>
      <w:r w:rsidR="00042DD0" w:rsidRPr="00042DD0">
        <w:rPr>
          <w:rFonts w:ascii="Arial" w:hAnsi="Arial" w:cs="Arial"/>
          <w:sz w:val="24"/>
        </w:rPr>
        <w:t>ouncils with known flood r</w:t>
      </w:r>
      <w:r w:rsidR="00DA36D9">
        <w:rPr>
          <w:rFonts w:ascii="Arial" w:hAnsi="Arial" w:cs="Arial"/>
          <w:sz w:val="24"/>
        </w:rPr>
        <w:t>isks such as the Huon Valley</w:t>
      </w:r>
      <w:r w:rsidR="00042DD0" w:rsidRPr="00042DD0">
        <w:rPr>
          <w:rFonts w:ascii="Arial" w:hAnsi="Arial" w:cs="Arial"/>
          <w:sz w:val="24"/>
        </w:rPr>
        <w:t>, Clarence City, and Central Coast provide information on the specific flood risks and generic household level advice on their websites.</w:t>
      </w:r>
    </w:p>
    <w:p w:rsidR="004943FE" w:rsidRDefault="004943FE" w:rsidP="00E5492D">
      <w:pPr>
        <w:pStyle w:val="NumberedBody2"/>
        <w:numPr>
          <w:ilvl w:val="0"/>
          <w:numId w:val="0"/>
        </w:numPr>
        <w:spacing w:before="100" w:beforeAutospacing="1" w:after="100" w:afterAutospacing="1"/>
        <w:jc w:val="both"/>
        <w:rPr>
          <w:rFonts w:ascii="Arial" w:hAnsi="Arial" w:cs="Arial"/>
          <w:color w:val="4472C4" w:themeColor="accent5"/>
          <w:sz w:val="24"/>
        </w:rPr>
      </w:pPr>
      <w:r w:rsidRPr="00110DDD">
        <w:rPr>
          <w:rFonts w:ascii="Arial" w:hAnsi="Arial" w:cs="Arial"/>
          <w:sz w:val="24"/>
        </w:rPr>
        <w:t>Rural landowners generally have a high level of awareness and preparedness, but the significant and extreme event of the June floods exceeded the capacity of many farmers to deal with the consequences.</w:t>
      </w:r>
      <w:r w:rsidR="003A4561" w:rsidRPr="003A4561">
        <w:rPr>
          <w:rFonts w:ascii="Arial" w:hAnsi="Arial" w:cs="Arial"/>
          <w:color w:val="4472C4" w:themeColor="accent5"/>
          <w:sz w:val="24"/>
        </w:rPr>
        <w:t xml:space="preserve"> </w:t>
      </w:r>
    </w:p>
    <w:p w:rsidR="00EA0974" w:rsidRPr="00626D73" w:rsidRDefault="00EA0974" w:rsidP="00E5492D">
      <w:pPr>
        <w:pStyle w:val="NumberedBody2"/>
        <w:numPr>
          <w:ilvl w:val="0"/>
          <w:numId w:val="0"/>
        </w:numPr>
        <w:spacing w:before="100" w:beforeAutospacing="1" w:after="100" w:afterAutospacing="1"/>
        <w:jc w:val="both"/>
        <w:rPr>
          <w:rFonts w:ascii="Arial" w:hAnsi="Arial" w:cs="Arial"/>
          <w:color w:val="FF0000"/>
          <w:sz w:val="24"/>
        </w:rPr>
      </w:pPr>
      <w:r w:rsidRPr="004D57CF">
        <w:rPr>
          <w:rFonts w:ascii="Arial" w:hAnsi="Arial" w:cs="Arial"/>
          <w:sz w:val="24"/>
        </w:rPr>
        <w:t>Notwithstanding this, more can and should be done with respect to Community flood education. The SES is working closely with Tasmania Fire Service to ensure an aligned Community Safety education program moving forward.</w:t>
      </w:r>
      <w:r w:rsidR="00626D73">
        <w:rPr>
          <w:rFonts w:ascii="Arial" w:hAnsi="Arial" w:cs="Arial"/>
          <w:sz w:val="24"/>
        </w:rPr>
        <w:t xml:space="preserve">  </w:t>
      </w:r>
    </w:p>
    <w:p w:rsidR="006720A3" w:rsidRPr="00042DD0" w:rsidRDefault="006720A3" w:rsidP="00E5492D">
      <w:pPr>
        <w:shd w:val="clear" w:color="auto" w:fill="FFFFFF"/>
        <w:spacing w:before="100" w:beforeAutospacing="1" w:after="100" w:afterAutospacing="1" w:line="234" w:lineRule="atLeast"/>
        <w:jc w:val="both"/>
        <w:rPr>
          <w:rFonts w:ascii="Arial" w:eastAsia="Times New Roman" w:hAnsi="Arial" w:cs="Arial"/>
          <w:b/>
          <w:sz w:val="24"/>
          <w:szCs w:val="24"/>
          <w:lang w:eastAsia="en-AU"/>
        </w:rPr>
      </w:pPr>
      <w:r w:rsidRPr="004D57CF">
        <w:rPr>
          <w:rFonts w:ascii="Arial" w:eastAsia="Times New Roman" w:hAnsi="Arial" w:cs="Arial"/>
          <w:b/>
          <w:sz w:val="24"/>
          <w:szCs w:val="24"/>
          <w:lang w:eastAsia="en-AU"/>
        </w:rPr>
        <w:t xml:space="preserve">The causes of the floods which were active in Tasmania over </w:t>
      </w:r>
      <w:r w:rsidRPr="00042DD0">
        <w:rPr>
          <w:rFonts w:ascii="Arial" w:eastAsia="Times New Roman" w:hAnsi="Arial" w:cs="Arial"/>
          <w:b/>
          <w:sz w:val="24"/>
          <w:szCs w:val="24"/>
          <w:lang w:eastAsia="en-AU"/>
        </w:rPr>
        <w:t>the period 4 – 7 June 2016 including cloud-seeding, State-wide water storage management and debris management.</w:t>
      </w:r>
    </w:p>
    <w:p w:rsidR="00890395" w:rsidRPr="004D57CF" w:rsidRDefault="00953D8F" w:rsidP="00E5492D">
      <w:pPr>
        <w:shd w:val="clear" w:color="auto" w:fill="FFFFFF"/>
        <w:spacing w:after="120" w:line="234" w:lineRule="atLeast"/>
        <w:jc w:val="both"/>
        <w:rPr>
          <w:rFonts w:ascii="Arial" w:eastAsia="Times New Roman" w:hAnsi="Arial" w:cs="Arial"/>
          <w:sz w:val="24"/>
          <w:szCs w:val="24"/>
          <w:lang w:eastAsia="en-AU"/>
        </w:rPr>
      </w:pPr>
      <w:r w:rsidRPr="004D57CF">
        <w:rPr>
          <w:rFonts w:ascii="Arial" w:eastAsia="Times New Roman" w:hAnsi="Arial" w:cs="Arial"/>
          <w:sz w:val="24"/>
          <w:szCs w:val="24"/>
          <w:lang w:eastAsia="en-AU"/>
        </w:rPr>
        <w:t>The SES, as a Response Management Authority, is not the appropriate agency to provide commentary on this</w:t>
      </w:r>
      <w:r w:rsidR="00213148" w:rsidRPr="004D57CF">
        <w:rPr>
          <w:rFonts w:ascii="Arial" w:eastAsia="Times New Roman" w:hAnsi="Arial" w:cs="Arial"/>
          <w:sz w:val="24"/>
          <w:szCs w:val="24"/>
          <w:lang w:eastAsia="en-AU"/>
        </w:rPr>
        <w:t>.</w:t>
      </w:r>
    </w:p>
    <w:p w:rsidR="006720A3" w:rsidRPr="00042DD0" w:rsidRDefault="006720A3" w:rsidP="00E5492D">
      <w:pPr>
        <w:shd w:val="clear" w:color="auto" w:fill="FFFFFF"/>
        <w:spacing w:before="100" w:beforeAutospacing="1" w:after="100" w:afterAutospacing="1" w:line="234" w:lineRule="atLeast"/>
        <w:jc w:val="both"/>
        <w:rPr>
          <w:rFonts w:ascii="Arial" w:eastAsia="Times New Roman" w:hAnsi="Arial" w:cs="Arial"/>
          <w:b/>
          <w:sz w:val="24"/>
          <w:szCs w:val="24"/>
          <w:lang w:eastAsia="en-AU"/>
        </w:rPr>
      </w:pPr>
      <w:r w:rsidRPr="00042DD0">
        <w:rPr>
          <w:rFonts w:ascii="Arial" w:eastAsia="Times New Roman" w:hAnsi="Arial" w:cs="Arial"/>
          <w:b/>
          <w:sz w:val="24"/>
          <w:szCs w:val="24"/>
          <w:lang w:eastAsia="en-AU"/>
        </w:rPr>
        <w:t>The use and efficacy of forecasting, community alerts, warnings and public information by authorities in responding to flood events.</w:t>
      </w:r>
    </w:p>
    <w:p w:rsidR="00C34A22" w:rsidRDefault="005900EB"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The </w:t>
      </w:r>
      <w:r w:rsidRPr="005900EB">
        <w:rPr>
          <w:rFonts w:ascii="Arial" w:eastAsia="Times New Roman" w:hAnsi="Arial" w:cs="Arial"/>
          <w:sz w:val="24"/>
          <w:szCs w:val="24"/>
          <w:lang w:eastAsia="en-AU"/>
        </w:rPr>
        <w:t>BoM and SES share a positive and cooperative relationship</w:t>
      </w:r>
      <w:r>
        <w:rPr>
          <w:rFonts w:ascii="Arial" w:eastAsia="Times New Roman" w:hAnsi="Arial" w:cs="Arial"/>
          <w:sz w:val="24"/>
          <w:szCs w:val="24"/>
          <w:lang w:eastAsia="en-AU"/>
        </w:rPr>
        <w:t>.</w:t>
      </w:r>
      <w:r w:rsidRPr="00C34A22">
        <w:rPr>
          <w:rFonts w:ascii="Arial" w:eastAsia="Times New Roman" w:hAnsi="Arial" w:cs="Arial"/>
          <w:sz w:val="24"/>
          <w:szCs w:val="24"/>
          <w:lang w:eastAsia="en-AU"/>
        </w:rPr>
        <w:t xml:space="preserve"> </w:t>
      </w:r>
      <w:r w:rsidR="00C34A22" w:rsidRPr="00C34A22">
        <w:rPr>
          <w:rFonts w:ascii="Arial" w:eastAsia="Times New Roman" w:hAnsi="Arial" w:cs="Arial"/>
          <w:sz w:val="24"/>
          <w:szCs w:val="24"/>
          <w:lang w:eastAsia="en-AU"/>
        </w:rPr>
        <w:t xml:space="preserve">BoM advice is provided in </w:t>
      </w:r>
      <w:r w:rsidR="00C34A22">
        <w:rPr>
          <w:rFonts w:ascii="Arial" w:eastAsia="Times New Roman" w:hAnsi="Arial" w:cs="Arial"/>
          <w:sz w:val="24"/>
          <w:szCs w:val="24"/>
          <w:lang w:eastAsia="en-AU"/>
        </w:rPr>
        <w:t>the l</w:t>
      </w:r>
      <w:r w:rsidR="00C34A22" w:rsidRPr="00C34A22">
        <w:rPr>
          <w:rFonts w:ascii="Arial" w:eastAsia="Times New Roman" w:hAnsi="Arial" w:cs="Arial"/>
          <w:sz w:val="24"/>
          <w:szCs w:val="24"/>
          <w:lang w:eastAsia="en-AU"/>
        </w:rPr>
        <w:t>ead up to</w:t>
      </w:r>
      <w:r w:rsidR="00C34A22">
        <w:rPr>
          <w:rFonts w:ascii="Arial" w:eastAsia="Times New Roman" w:hAnsi="Arial" w:cs="Arial"/>
          <w:sz w:val="24"/>
          <w:szCs w:val="24"/>
          <w:lang w:eastAsia="en-AU"/>
        </w:rPr>
        <w:t xml:space="preserve"> all significant weather events</w:t>
      </w:r>
      <w:r w:rsidR="00C34A22" w:rsidRPr="00C34A22">
        <w:rPr>
          <w:rFonts w:ascii="Arial" w:eastAsia="Times New Roman" w:hAnsi="Arial" w:cs="Arial"/>
          <w:sz w:val="24"/>
          <w:szCs w:val="24"/>
          <w:lang w:eastAsia="en-AU"/>
        </w:rPr>
        <w:t xml:space="preserve"> and preparedness arrangements are subsequently implemented by </w:t>
      </w:r>
      <w:r w:rsidR="00C34A22">
        <w:rPr>
          <w:rFonts w:ascii="Arial" w:eastAsia="Times New Roman" w:hAnsi="Arial" w:cs="Arial"/>
          <w:sz w:val="24"/>
          <w:szCs w:val="24"/>
          <w:lang w:eastAsia="en-AU"/>
        </w:rPr>
        <w:t xml:space="preserve">the </w:t>
      </w:r>
      <w:r w:rsidR="00C34A22" w:rsidRPr="00C34A22">
        <w:rPr>
          <w:rFonts w:ascii="Arial" w:eastAsia="Times New Roman" w:hAnsi="Arial" w:cs="Arial"/>
          <w:sz w:val="24"/>
          <w:szCs w:val="24"/>
          <w:lang w:eastAsia="en-AU"/>
        </w:rPr>
        <w:t>SES, Councils and other agencies as required.</w:t>
      </w:r>
    </w:p>
    <w:p w:rsidR="005900EB" w:rsidRDefault="005900EB"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5900EB">
        <w:rPr>
          <w:rFonts w:ascii="Arial" w:eastAsia="Times New Roman" w:hAnsi="Arial" w:cs="Arial"/>
          <w:sz w:val="24"/>
          <w:szCs w:val="24"/>
          <w:lang w:eastAsia="en-AU"/>
        </w:rPr>
        <w:t>BoM warning</w:t>
      </w:r>
      <w:r>
        <w:rPr>
          <w:rFonts w:ascii="Arial" w:eastAsia="Times New Roman" w:hAnsi="Arial" w:cs="Arial"/>
          <w:sz w:val="24"/>
          <w:szCs w:val="24"/>
          <w:lang w:eastAsia="en-AU"/>
        </w:rPr>
        <w:t>s</w:t>
      </w:r>
      <w:r w:rsidRPr="005900EB">
        <w:rPr>
          <w:rFonts w:ascii="Arial" w:eastAsia="Times New Roman" w:hAnsi="Arial" w:cs="Arial"/>
          <w:sz w:val="24"/>
          <w:szCs w:val="24"/>
          <w:lang w:eastAsia="en-AU"/>
        </w:rPr>
        <w:t xml:space="preserve"> for the </w:t>
      </w:r>
      <w:r>
        <w:rPr>
          <w:rFonts w:ascii="Arial" w:eastAsia="Times New Roman" w:hAnsi="Arial" w:cs="Arial"/>
          <w:sz w:val="24"/>
          <w:szCs w:val="24"/>
          <w:lang w:eastAsia="en-AU"/>
        </w:rPr>
        <w:t xml:space="preserve">Northern </w:t>
      </w:r>
      <w:r w:rsidRPr="005900EB">
        <w:rPr>
          <w:rFonts w:ascii="Arial" w:eastAsia="Times New Roman" w:hAnsi="Arial" w:cs="Arial"/>
          <w:sz w:val="24"/>
          <w:szCs w:val="24"/>
          <w:lang w:eastAsia="en-AU"/>
        </w:rPr>
        <w:t>event were considered effective. Notably, BoM gave SES a very early heads up of the event permitting SES to undertake important readiness arrangements in advance o</w:t>
      </w:r>
      <w:r>
        <w:rPr>
          <w:rFonts w:ascii="Arial" w:eastAsia="Times New Roman" w:hAnsi="Arial" w:cs="Arial"/>
          <w:sz w:val="24"/>
          <w:szCs w:val="24"/>
          <w:lang w:eastAsia="en-AU"/>
        </w:rPr>
        <w:t xml:space="preserve">f forecast flooding. </w:t>
      </w:r>
      <w:r w:rsidR="00953D8F">
        <w:rPr>
          <w:rFonts w:ascii="Arial" w:eastAsia="Times New Roman" w:hAnsi="Arial" w:cs="Arial"/>
          <w:sz w:val="24"/>
          <w:szCs w:val="24"/>
          <w:lang w:eastAsia="en-AU"/>
        </w:rPr>
        <w:t>That said, during the event</w:t>
      </w:r>
      <w:r w:rsidRPr="005900EB">
        <w:rPr>
          <w:rFonts w:ascii="Arial" w:eastAsia="Times New Roman" w:hAnsi="Arial" w:cs="Arial"/>
          <w:sz w:val="24"/>
          <w:szCs w:val="24"/>
          <w:lang w:eastAsia="en-AU"/>
        </w:rPr>
        <w:t xml:space="preserve"> the </w:t>
      </w:r>
      <w:r>
        <w:rPr>
          <w:rFonts w:ascii="Arial" w:eastAsia="Times New Roman" w:hAnsi="Arial" w:cs="Arial"/>
          <w:sz w:val="24"/>
          <w:szCs w:val="24"/>
          <w:lang w:eastAsia="en-AU"/>
        </w:rPr>
        <w:t>magnitude of the flood</w:t>
      </w:r>
      <w:r w:rsidRPr="005900EB">
        <w:rPr>
          <w:rFonts w:ascii="Arial" w:eastAsia="Times New Roman" w:hAnsi="Arial" w:cs="Arial"/>
          <w:sz w:val="24"/>
          <w:szCs w:val="24"/>
          <w:lang w:eastAsia="en-AU"/>
        </w:rPr>
        <w:t xml:space="preserve"> </w:t>
      </w:r>
      <w:r>
        <w:rPr>
          <w:rFonts w:ascii="Arial" w:eastAsia="Times New Roman" w:hAnsi="Arial" w:cs="Arial"/>
          <w:sz w:val="24"/>
          <w:szCs w:val="24"/>
          <w:lang w:eastAsia="en-AU"/>
        </w:rPr>
        <w:t xml:space="preserve">seemed to escalate </w:t>
      </w:r>
      <w:r w:rsidRPr="005900EB">
        <w:rPr>
          <w:rFonts w:ascii="Arial" w:eastAsia="Times New Roman" w:hAnsi="Arial" w:cs="Arial"/>
          <w:sz w:val="24"/>
          <w:szCs w:val="24"/>
          <w:lang w:eastAsia="en-AU"/>
        </w:rPr>
        <w:t xml:space="preserve">very quickly. </w:t>
      </w:r>
    </w:p>
    <w:p w:rsidR="00EA0974" w:rsidRDefault="00110DDD"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Pr>
          <w:rFonts w:ascii="Arial" w:eastAsia="Times New Roman" w:hAnsi="Arial" w:cs="Arial"/>
          <w:sz w:val="24"/>
          <w:szCs w:val="24"/>
          <w:lang w:eastAsia="en-AU"/>
        </w:rPr>
        <w:t>W</w:t>
      </w:r>
      <w:r w:rsidR="005900EB" w:rsidRPr="005900EB">
        <w:rPr>
          <w:rFonts w:ascii="Arial" w:eastAsia="Times New Roman" w:hAnsi="Arial" w:cs="Arial"/>
          <w:sz w:val="24"/>
          <w:szCs w:val="24"/>
          <w:lang w:eastAsia="en-AU"/>
        </w:rPr>
        <w:t>here intelligence from</w:t>
      </w:r>
      <w:r w:rsidR="00330C6F">
        <w:rPr>
          <w:rFonts w:ascii="Arial" w:eastAsia="Times New Roman" w:hAnsi="Arial" w:cs="Arial"/>
          <w:sz w:val="24"/>
          <w:szCs w:val="24"/>
          <w:lang w:eastAsia="en-AU"/>
        </w:rPr>
        <w:t xml:space="preserve"> the BoM was limited</w:t>
      </w:r>
      <w:r w:rsidR="005900EB" w:rsidRPr="005900EB">
        <w:rPr>
          <w:rFonts w:ascii="Arial" w:eastAsia="Times New Roman" w:hAnsi="Arial" w:cs="Arial"/>
          <w:sz w:val="24"/>
          <w:szCs w:val="24"/>
          <w:lang w:eastAsia="en-AU"/>
        </w:rPr>
        <w:t>,</w:t>
      </w:r>
      <w:r w:rsidR="00213148">
        <w:rPr>
          <w:rFonts w:ascii="Arial" w:eastAsia="Times New Roman" w:hAnsi="Arial" w:cs="Arial"/>
          <w:sz w:val="24"/>
          <w:szCs w:val="24"/>
          <w:lang w:eastAsia="en-AU"/>
        </w:rPr>
        <w:t xml:space="preserve"> forecast confidence was</w:t>
      </w:r>
      <w:r w:rsidR="005900EB" w:rsidRPr="005900EB">
        <w:rPr>
          <w:rFonts w:ascii="Arial" w:eastAsia="Times New Roman" w:hAnsi="Arial" w:cs="Arial"/>
          <w:sz w:val="24"/>
          <w:szCs w:val="24"/>
          <w:lang w:eastAsia="en-AU"/>
        </w:rPr>
        <w:t xml:space="preserve"> discussed w</w:t>
      </w:r>
      <w:r w:rsidR="00213148">
        <w:rPr>
          <w:rFonts w:ascii="Arial" w:eastAsia="Times New Roman" w:hAnsi="Arial" w:cs="Arial"/>
          <w:sz w:val="24"/>
          <w:szCs w:val="24"/>
          <w:lang w:eastAsia="en-AU"/>
        </w:rPr>
        <w:t>ith SES officers so that a clear</w:t>
      </w:r>
      <w:r w:rsidR="005900EB" w:rsidRPr="005900EB">
        <w:rPr>
          <w:rFonts w:ascii="Arial" w:eastAsia="Times New Roman" w:hAnsi="Arial" w:cs="Arial"/>
          <w:sz w:val="24"/>
          <w:szCs w:val="24"/>
          <w:lang w:eastAsia="en-AU"/>
        </w:rPr>
        <w:t xml:space="preserve"> understanding was obtained</w:t>
      </w:r>
      <w:r w:rsidR="00330C6F">
        <w:rPr>
          <w:rFonts w:ascii="Arial" w:eastAsia="Times New Roman" w:hAnsi="Arial" w:cs="Arial"/>
          <w:sz w:val="24"/>
          <w:szCs w:val="24"/>
          <w:lang w:eastAsia="en-AU"/>
        </w:rPr>
        <w:t xml:space="preserve"> to inform response requirements</w:t>
      </w:r>
      <w:r w:rsidR="005900EB" w:rsidRPr="005900EB">
        <w:rPr>
          <w:rFonts w:ascii="Arial" w:eastAsia="Times New Roman" w:hAnsi="Arial" w:cs="Arial"/>
          <w:sz w:val="24"/>
          <w:szCs w:val="24"/>
          <w:lang w:eastAsia="en-AU"/>
        </w:rPr>
        <w:t xml:space="preserve">. </w:t>
      </w:r>
    </w:p>
    <w:p w:rsidR="002F4D9C" w:rsidRPr="000D5CDE" w:rsidRDefault="00330C6F"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Pr>
          <w:rFonts w:ascii="Arial" w:eastAsia="Times New Roman" w:hAnsi="Arial" w:cs="Arial"/>
          <w:sz w:val="24"/>
          <w:szCs w:val="24"/>
          <w:lang w:eastAsia="en-AU"/>
        </w:rPr>
        <w:t>BoM predictions for the NW Region did not identi</w:t>
      </w:r>
      <w:r w:rsidR="00953D8F">
        <w:rPr>
          <w:rFonts w:ascii="Arial" w:eastAsia="Times New Roman" w:hAnsi="Arial" w:cs="Arial"/>
          <w:sz w:val="24"/>
          <w:szCs w:val="24"/>
          <w:lang w:eastAsia="en-AU"/>
        </w:rPr>
        <w:t xml:space="preserve">fy the extent of the rainfall prior to the event; which did lead to the deployment of SES crews in an unrelated search and rescue activity for the two days prior to the weather event (which impacted on fatigue management levels in the NW region). </w:t>
      </w:r>
      <w:r w:rsidR="005900EB" w:rsidRPr="005900EB">
        <w:rPr>
          <w:rFonts w:ascii="Arial" w:eastAsia="Times New Roman" w:hAnsi="Arial" w:cs="Arial"/>
          <w:sz w:val="24"/>
          <w:szCs w:val="24"/>
          <w:lang w:eastAsia="en-AU"/>
        </w:rPr>
        <w:t xml:space="preserve">Some lack of </w:t>
      </w:r>
      <w:r w:rsidR="00BD2ECC">
        <w:rPr>
          <w:rFonts w:ascii="Arial" w:eastAsia="Times New Roman" w:hAnsi="Arial" w:cs="Arial"/>
          <w:sz w:val="24"/>
          <w:szCs w:val="24"/>
          <w:lang w:eastAsia="en-AU"/>
        </w:rPr>
        <w:t xml:space="preserve">flood intelligence </w:t>
      </w:r>
      <w:r w:rsidR="005900EB" w:rsidRPr="005900EB">
        <w:rPr>
          <w:rFonts w:ascii="Arial" w:eastAsia="Times New Roman" w:hAnsi="Arial" w:cs="Arial"/>
          <w:sz w:val="24"/>
          <w:szCs w:val="24"/>
          <w:lang w:eastAsia="en-AU"/>
        </w:rPr>
        <w:t xml:space="preserve">during the height of the flood was </w:t>
      </w:r>
      <w:r w:rsidR="005900EB">
        <w:rPr>
          <w:rFonts w:ascii="Arial" w:eastAsia="Times New Roman" w:hAnsi="Arial" w:cs="Arial"/>
          <w:sz w:val="24"/>
          <w:szCs w:val="24"/>
          <w:lang w:eastAsia="en-AU"/>
        </w:rPr>
        <w:t xml:space="preserve">potentially </w:t>
      </w:r>
      <w:r w:rsidR="005900EB" w:rsidRPr="005900EB">
        <w:rPr>
          <w:rFonts w:ascii="Arial" w:eastAsia="Times New Roman" w:hAnsi="Arial" w:cs="Arial"/>
          <w:sz w:val="24"/>
          <w:szCs w:val="24"/>
          <w:lang w:eastAsia="en-AU"/>
        </w:rPr>
        <w:t>caused by the loss of telemetry systems/monitoring</w:t>
      </w:r>
      <w:r w:rsidR="00953D8F">
        <w:rPr>
          <w:rFonts w:ascii="Arial" w:eastAsia="Times New Roman" w:hAnsi="Arial" w:cs="Arial"/>
          <w:sz w:val="24"/>
          <w:szCs w:val="24"/>
          <w:lang w:eastAsia="en-AU"/>
        </w:rPr>
        <w:t xml:space="preserve"> </w:t>
      </w:r>
      <w:r w:rsidR="00953D8F" w:rsidRPr="000D5CDE">
        <w:rPr>
          <w:rFonts w:ascii="Arial" w:eastAsia="Times New Roman" w:hAnsi="Arial" w:cs="Arial"/>
          <w:sz w:val="24"/>
          <w:szCs w:val="24"/>
          <w:lang w:eastAsia="en-AU"/>
        </w:rPr>
        <w:t xml:space="preserve">sites. </w:t>
      </w:r>
    </w:p>
    <w:p w:rsidR="008F5DF9" w:rsidRPr="000D5CDE" w:rsidRDefault="008F5DF9"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p>
    <w:p w:rsidR="008F5DF9" w:rsidRPr="000D5CDE" w:rsidRDefault="008F5DF9"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p>
    <w:p w:rsidR="002F4D9C" w:rsidRPr="000D5CDE" w:rsidRDefault="002F4D9C"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0D5CDE">
        <w:rPr>
          <w:rFonts w:ascii="Arial" w:eastAsia="Times New Roman" w:hAnsi="Arial" w:cs="Arial"/>
          <w:sz w:val="24"/>
          <w:szCs w:val="24"/>
          <w:lang w:eastAsia="en-AU"/>
        </w:rPr>
        <w:t xml:space="preserve">Owners of river gauges vary and not all are placed for the purpose of assessing flood behaviour </w:t>
      </w:r>
      <w:r w:rsidR="000D5CDE" w:rsidRPr="000D5CDE">
        <w:rPr>
          <w:rFonts w:ascii="Arial" w:eastAsia="Times New Roman" w:hAnsi="Arial" w:cs="Arial"/>
          <w:sz w:val="24"/>
          <w:szCs w:val="24"/>
          <w:lang w:eastAsia="en-AU"/>
        </w:rPr>
        <w:t xml:space="preserve">and generating flood warnings. </w:t>
      </w:r>
      <w:r w:rsidRPr="000D5CDE">
        <w:rPr>
          <w:rFonts w:ascii="Arial" w:eastAsia="Times New Roman" w:hAnsi="Arial" w:cs="Arial"/>
          <w:sz w:val="24"/>
          <w:szCs w:val="24"/>
          <w:lang w:eastAsia="en-AU"/>
        </w:rPr>
        <w:t xml:space="preserve">Those that have been installed by the BoM for the purpose of flood warning are not necessarily owned by the BoM and replacement or maintenance responsibilities for these particular gauges remains unclear. </w:t>
      </w:r>
    </w:p>
    <w:p w:rsidR="002F4D9C" w:rsidRPr="000D5CDE" w:rsidRDefault="002F4D9C"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0D5CDE">
        <w:rPr>
          <w:rFonts w:ascii="Arial" w:eastAsia="Times New Roman" w:hAnsi="Arial" w:cs="Arial"/>
          <w:sz w:val="24"/>
          <w:szCs w:val="24"/>
          <w:lang w:eastAsia="en-AU"/>
        </w:rPr>
        <w:t>It is also apparent that the network of river gauges used to generate fl</w:t>
      </w:r>
      <w:r w:rsidR="00E26990" w:rsidRPr="000D5CDE">
        <w:rPr>
          <w:rFonts w:ascii="Arial" w:eastAsia="Times New Roman" w:hAnsi="Arial" w:cs="Arial"/>
          <w:sz w:val="24"/>
          <w:szCs w:val="24"/>
          <w:lang w:eastAsia="en-AU"/>
        </w:rPr>
        <w:t xml:space="preserve">ood warnings could be expanded.  </w:t>
      </w:r>
      <w:r w:rsidRPr="000D5CDE">
        <w:rPr>
          <w:rFonts w:ascii="Arial" w:eastAsia="Times New Roman" w:hAnsi="Arial" w:cs="Arial"/>
          <w:sz w:val="24"/>
          <w:szCs w:val="24"/>
          <w:lang w:eastAsia="en-AU"/>
        </w:rPr>
        <w:t>The major barrier for this work to proceed appears to be the lack of funding, and to some extent the lack of clarity over which agency or which level of government would be responsible.</w:t>
      </w:r>
    </w:p>
    <w:p w:rsidR="005900EB" w:rsidRPr="000D5CDE" w:rsidRDefault="005900EB"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The </w:t>
      </w:r>
      <w:r w:rsidRPr="005900EB">
        <w:rPr>
          <w:rFonts w:ascii="Arial" w:eastAsia="Times New Roman" w:hAnsi="Arial" w:cs="Arial"/>
          <w:sz w:val="24"/>
          <w:szCs w:val="24"/>
          <w:lang w:eastAsia="en-AU"/>
        </w:rPr>
        <w:t>SES and B</w:t>
      </w:r>
      <w:r>
        <w:rPr>
          <w:rFonts w:ascii="Arial" w:eastAsia="Times New Roman" w:hAnsi="Arial" w:cs="Arial"/>
          <w:sz w:val="24"/>
          <w:szCs w:val="24"/>
          <w:lang w:eastAsia="en-AU"/>
        </w:rPr>
        <w:t>oM are currently working on contingencies for manual gauges</w:t>
      </w:r>
      <w:r w:rsidRPr="005900EB">
        <w:rPr>
          <w:rFonts w:ascii="Arial" w:eastAsia="Times New Roman" w:hAnsi="Arial" w:cs="Arial"/>
          <w:sz w:val="24"/>
          <w:szCs w:val="24"/>
          <w:lang w:eastAsia="en-AU"/>
        </w:rPr>
        <w:t xml:space="preserve"> through an NDRP submission.</w:t>
      </w:r>
      <w:r w:rsidR="000D5CDE">
        <w:rPr>
          <w:rFonts w:ascii="Arial" w:eastAsia="Times New Roman" w:hAnsi="Arial" w:cs="Arial"/>
          <w:sz w:val="24"/>
          <w:szCs w:val="24"/>
          <w:lang w:eastAsia="en-AU"/>
        </w:rPr>
        <w:t xml:space="preserve"> </w:t>
      </w:r>
      <w:r w:rsidR="002F4D9C" w:rsidRPr="000D5CDE">
        <w:rPr>
          <w:rFonts w:ascii="Arial" w:eastAsia="Times New Roman" w:hAnsi="Arial" w:cs="Arial"/>
          <w:sz w:val="24"/>
          <w:szCs w:val="24"/>
          <w:lang w:eastAsia="en-AU"/>
        </w:rPr>
        <w:t>Future consideration may be given to SES developing its own flood intelligence system, similar to that utilised by the NSW SES.</w:t>
      </w:r>
      <w:r w:rsidRPr="000D5CDE">
        <w:rPr>
          <w:rFonts w:ascii="Arial" w:eastAsia="Times New Roman" w:hAnsi="Arial" w:cs="Arial"/>
          <w:sz w:val="24"/>
          <w:szCs w:val="24"/>
          <w:lang w:eastAsia="en-AU"/>
        </w:rPr>
        <w:t xml:space="preserve">  </w:t>
      </w:r>
    </w:p>
    <w:p w:rsidR="00BD2ECC" w:rsidRDefault="00BD2ECC"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BD2ECC">
        <w:rPr>
          <w:rFonts w:ascii="Arial" w:eastAsia="Times New Roman" w:hAnsi="Arial" w:cs="Arial"/>
          <w:sz w:val="24"/>
          <w:szCs w:val="24"/>
          <w:lang w:eastAsia="en-AU"/>
        </w:rPr>
        <w:t>SES will launch its flood warning system in February 2017. The system is designed to complement the BoM warning system. Whi</w:t>
      </w:r>
      <w:r>
        <w:rPr>
          <w:rFonts w:ascii="Arial" w:eastAsia="Times New Roman" w:hAnsi="Arial" w:cs="Arial"/>
          <w:sz w:val="24"/>
          <w:szCs w:val="24"/>
          <w:lang w:eastAsia="en-AU"/>
        </w:rPr>
        <w:t xml:space="preserve">lst BoM will continue to </w:t>
      </w:r>
      <w:r w:rsidR="00213148">
        <w:rPr>
          <w:rFonts w:ascii="Arial" w:eastAsia="Times New Roman" w:hAnsi="Arial" w:cs="Arial"/>
          <w:sz w:val="24"/>
          <w:szCs w:val="24"/>
          <w:lang w:eastAsia="en-AU"/>
        </w:rPr>
        <w:t xml:space="preserve">provide </w:t>
      </w:r>
      <w:r>
        <w:rPr>
          <w:rFonts w:ascii="Arial" w:eastAsia="Times New Roman" w:hAnsi="Arial" w:cs="Arial"/>
          <w:sz w:val="24"/>
          <w:szCs w:val="24"/>
          <w:lang w:eastAsia="en-AU"/>
        </w:rPr>
        <w:t>warn</w:t>
      </w:r>
      <w:r w:rsidR="00213148">
        <w:rPr>
          <w:rFonts w:ascii="Arial" w:eastAsia="Times New Roman" w:hAnsi="Arial" w:cs="Arial"/>
          <w:sz w:val="24"/>
          <w:szCs w:val="24"/>
          <w:lang w:eastAsia="en-AU"/>
        </w:rPr>
        <w:t>ings</w:t>
      </w:r>
      <w:r>
        <w:rPr>
          <w:rFonts w:ascii="Arial" w:eastAsia="Times New Roman" w:hAnsi="Arial" w:cs="Arial"/>
          <w:sz w:val="24"/>
          <w:szCs w:val="24"/>
          <w:lang w:eastAsia="en-AU"/>
        </w:rPr>
        <w:t xml:space="preserve"> relating to</w:t>
      </w:r>
      <w:r w:rsidRPr="00BD2ECC">
        <w:rPr>
          <w:rFonts w:ascii="Arial" w:eastAsia="Times New Roman" w:hAnsi="Arial" w:cs="Arial"/>
          <w:sz w:val="24"/>
          <w:szCs w:val="24"/>
          <w:lang w:eastAsia="en-AU"/>
        </w:rPr>
        <w:t xml:space="preserve"> flood risk at a catchment leve</w:t>
      </w:r>
      <w:r w:rsidR="000F4E49">
        <w:rPr>
          <w:rFonts w:ascii="Arial" w:eastAsia="Times New Roman" w:hAnsi="Arial" w:cs="Arial"/>
          <w:sz w:val="24"/>
          <w:szCs w:val="24"/>
          <w:lang w:eastAsia="en-AU"/>
        </w:rPr>
        <w:t>l, SES will warn at a localised</w:t>
      </w:r>
      <w:r w:rsidRPr="00BD2ECC">
        <w:rPr>
          <w:rFonts w:ascii="Arial" w:eastAsia="Times New Roman" w:hAnsi="Arial" w:cs="Arial"/>
          <w:sz w:val="24"/>
          <w:szCs w:val="24"/>
          <w:lang w:eastAsia="en-AU"/>
        </w:rPr>
        <w:t xml:space="preserve"> level regarding impact (including a call to action for protective actions/behaviours). It is believe</w:t>
      </w:r>
      <w:r w:rsidR="000F4E49">
        <w:rPr>
          <w:rFonts w:ascii="Arial" w:eastAsia="Times New Roman" w:hAnsi="Arial" w:cs="Arial"/>
          <w:sz w:val="24"/>
          <w:szCs w:val="24"/>
          <w:lang w:eastAsia="en-AU"/>
        </w:rPr>
        <w:t>d</w:t>
      </w:r>
      <w:r w:rsidRPr="00BD2ECC">
        <w:rPr>
          <w:rFonts w:ascii="Arial" w:eastAsia="Times New Roman" w:hAnsi="Arial" w:cs="Arial"/>
          <w:sz w:val="24"/>
          <w:szCs w:val="24"/>
          <w:lang w:eastAsia="en-AU"/>
        </w:rPr>
        <w:t xml:space="preserve"> that this system has significant potential in terms of enhancing community awareness, preparedness and response to flooding.</w:t>
      </w:r>
    </w:p>
    <w:p w:rsidR="002620F3" w:rsidRDefault="00332F3E"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332F3E">
        <w:rPr>
          <w:rFonts w:ascii="Arial" w:eastAsia="Times New Roman" w:hAnsi="Arial" w:cs="Arial"/>
          <w:sz w:val="24"/>
          <w:szCs w:val="24"/>
          <w:lang w:eastAsia="en-AU"/>
        </w:rPr>
        <w:t xml:space="preserve">Preformed polygons for Emergency Alert (EA) are now in place for future use and activation in the </w:t>
      </w:r>
      <w:r w:rsidR="0078794B">
        <w:rPr>
          <w:rFonts w:ascii="Arial" w:eastAsia="Times New Roman" w:hAnsi="Arial" w:cs="Arial"/>
          <w:sz w:val="24"/>
          <w:szCs w:val="24"/>
          <w:lang w:eastAsia="en-AU"/>
        </w:rPr>
        <w:t xml:space="preserve">Ouse, </w:t>
      </w:r>
      <w:r w:rsidRPr="00332F3E">
        <w:rPr>
          <w:rFonts w:ascii="Arial" w:eastAsia="Times New Roman" w:hAnsi="Arial" w:cs="Arial"/>
          <w:sz w:val="24"/>
          <w:szCs w:val="24"/>
          <w:lang w:eastAsia="en-AU"/>
        </w:rPr>
        <w:t xml:space="preserve">Mersey </w:t>
      </w:r>
      <w:r w:rsidR="002620F3">
        <w:rPr>
          <w:rFonts w:ascii="Arial" w:eastAsia="Times New Roman" w:hAnsi="Arial" w:cs="Arial"/>
          <w:sz w:val="24"/>
          <w:szCs w:val="24"/>
          <w:lang w:eastAsia="en-AU"/>
        </w:rPr>
        <w:t>and Meander</w:t>
      </w:r>
      <w:r w:rsidR="0078794B" w:rsidRPr="00332F3E">
        <w:rPr>
          <w:rFonts w:ascii="Arial" w:eastAsia="Times New Roman" w:hAnsi="Arial" w:cs="Arial"/>
          <w:sz w:val="24"/>
          <w:szCs w:val="24"/>
          <w:lang w:eastAsia="en-AU"/>
        </w:rPr>
        <w:t xml:space="preserve"> catchments</w:t>
      </w:r>
      <w:r w:rsidRPr="00332F3E">
        <w:rPr>
          <w:rFonts w:ascii="Arial" w:eastAsia="Times New Roman" w:hAnsi="Arial" w:cs="Arial"/>
          <w:sz w:val="24"/>
          <w:szCs w:val="24"/>
          <w:lang w:eastAsia="en-AU"/>
        </w:rPr>
        <w:t>.</w:t>
      </w:r>
      <w:r w:rsidR="0078794B">
        <w:rPr>
          <w:rFonts w:ascii="Arial" w:eastAsia="Times New Roman" w:hAnsi="Arial" w:cs="Arial"/>
          <w:sz w:val="24"/>
          <w:szCs w:val="24"/>
          <w:lang w:eastAsia="en-AU"/>
        </w:rPr>
        <w:t xml:space="preserve"> Polygons for other catchments can be rapi</w:t>
      </w:r>
      <w:r w:rsidR="00ED424D">
        <w:rPr>
          <w:rFonts w:ascii="Arial" w:eastAsia="Times New Roman" w:hAnsi="Arial" w:cs="Arial"/>
          <w:sz w:val="24"/>
          <w:szCs w:val="24"/>
          <w:lang w:eastAsia="en-AU"/>
        </w:rPr>
        <w:t>dly created</w:t>
      </w:r>
      <w:r w:rsidR="0078794B">
        <w:rPr>
          <w:rFonts w:ascii="Arial" w:eastAsia="Times New Roman" w:hAnsi="Arial" w:cs="Arial"/>
          <w:sz w:val="24"/>
          <w:szCs w:val="24"/>
          <w:lang w:eastAsia="en-AU"/>
        </w:rPr>
        <w:t xml:space="preserve"> as required.</w:t>
      </w:r>
    </w:p>
    <w:p w:rsidR="00EA0974" w:rsidRPr="004D57CF" w:rsidRDefault="00EA0974"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4D57CF">
        <w:rPr>
          <w:rFonts w:ascii="Arial" w:eastAsia="Times New Roman" w:hAnsi="Arial" w:cs="Arial"/>
          <w:sz w:val="24"/>
          <w:szCs w:val="24"/>
          <w:lang w:eastAsia="en-AU"/>
        </w:rPr>
        <w:t>Community alerts and warnings during the June floods were varied and multi-faceted. For the first time, SES used the TasAlert system to promulgate a warning to Invermay, and evacuation procedures were assessed as effective. All media outlets, social media and conventional information distribution methods were used throughout the event to promulgate warnings, community messages and warnings.</w:t>
      </w:r>
    </w:p>
    <w:p w:rsidR="006720A3" w:rsidRPr="00042DD0" w:rsidRDefault="006720A3" w:rsidP="00E5492D">
      <w:pPr>
        <w:shd w:val="clear" w:color="auto" w:fill="FFFFFF"/>
        <w:spacing w:before="100" w:beforeAutospacing="1" w:after="100" w:afterAutospacing="1" w:line="234" w:lineRule="atLeast"/>
        <w:jc w:val="both"/>
        <w:rPr>
          <w:rFonts w:ascii="Arial" w:eastAsia="Times New Roman" w:hAnsi="Arial" w:cs="Arial"/>
          <w:b/>
          <w:sz w:val="24"/>
          <w:szCs w:val="24"/>
          <w:lang w:eastAsia="en-AU"/>
        </w:rPr>
      </w:pPr>
      <w:r w:rsidRPr="00042DD0">
        <w:rPr>
          <w:rFonts w:ascii="Arial" w:eastAsia="Times New Roman" w:hAnsi="Arial" w:cs="Arial"/>
          <w:b/>
          <w:sz w:val="24"/>
          <w:szCs w:val="24"/>
          <w:lang w:eastAsia="en-AU"/>
        </w:rPr>
        <w:t>The effectiveness of transition from response to recovery in the week following the June floods; including capacity and priorities for infrastructure repair, and immediate assistance payments.</w:t>
      </w:r>
    </w:p>
    <w:p w:rsidR="00292080" w:rsidRPr="00292080" w:rsidRDefault="00292080"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292080">
        <w:rPr>
          <w:rFonts w:ascii="Arial" w:eastAsia="Times New Roman" w:hAnsi="Arial" w:cs="Arial"/>
          <w:sz w:val="24"/>
          <w:szCs w:val="24"/>
          <w:lang w:eastAsia="en-AU"/>
        </w:rPr>
        <w:t>Rapid activation and establishment of evacuation centres were effective, with mutual support between local councils.</w:t>
      </w:r>
    </w:p>
    <w:p w:rsidR="00292080" w:rsidRPr="00292080" w:rsidRDefault="00292080"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292080">
        <w:rPr>
          <w:rFonts w:ascii="Arial" w:eastAsia="Times New Roman" w:hAnsi="Arial" w:cs="Arial"/>
          <w:sz w:val="24"/>
          <w:szCs w:val="24"/>
          <w:lang w:eastAsia="en-AU"/>
        </w:rPr>
        <w:t>The est</w:t>
      </w:r>
      <w:r w:rsidR="000F4E49">
        <w:rPr>
          <w:rFonts w:ascii="Arial" w:eastAsia="Times New Roman" w:hAnsi="Arial" w:cs="Arial"/>
          <w:sz w:val="24"/>
          <w:szCs w:val="24"/>
          <w:lang w:eastAsia="en-AU"/>
        </w:rPr>
        <w:t>ablishment of a recovery centre</w:t>
      </w:r>
      <w:r w:rsidRPr="00292080">
        <w:rPr>
          <w:rFonts w:ascii="Arial" w:eastAsia="Times New Roman" w:hAnsi="Arial" w:cs="Arial"/>
          <w:sz w:val="24"/>
          <w:szCs w:val="24"/>
          <w:lang w:eastAsia="en-AU"/>
        </w:rPr>
        <w:t xml:space="preserve"> based in Latrobe, but extending services to the broader NW community, was well managed and attended. Although its formation was somewhat adhoc, and without precedent for the NW Region, it performed well and agency representatives were clearly committed to service </w:t>
      </w:r>
      <w:r>
        <w:rPr>
          <w:rFonts w:ascii="Arial" w:eastAsia="Times New Roman" w:hAnsi="Arial" w:cs="Arial"/>
          <w:sz w:val="24"/>
          <w:szCs w:val="24"/>
          <w:lang w:eastAsia="en-AU"/>
        </w:rPr>
        <w:t xml:space="preserve">their </w:t>
      </w:r>
      <w:r w:rsidRPr="00292080">
        <w:rPr>
          <w:rFonts w:ascii="Arial" w:eastAsia="Times New Roman" w:hAnsi="Arial" w:cs="Arial"/>
          <w:sz w:val="24"/>
          <w:szCs w:val="24"/>
          <w:lang w:eastAsia="en-AU"/>
        </w:rPr>
        <w:t>clients. This provided ready access and p</w:t>
      </w:r>
      <w:r w:rsidR="00354AF3">
        <w:rPr>
          <w:rFonts w:ascii="Arial" w:eastAsia="Times New Roman" w:hAnsi="Arial" w:cs="Arial"/>
          <w:sz w:val="24"/>
          <w:szCs w:val="24"/>
          <w:lang w:eastAsia="en-AU"/>
        </w:rPr>
        <w:t>ayments for eligible recipients</w:t>
      </w:r>
      <w:r w:rsidRPr="00292080">
        <w:rPr>
          <w:rFonts w:ascii="Arial" w:eastAsia="Times New Roman" w:hAnsi="Arial" w:cs="Arial"/>
          <w:sz w:val="24"/>
          <w:szCs w:val="24"/>
          <w:lang w:eastAsia="en-AU"/>
        </w:rPr>
        <w:t xml:space="preserve"> and the cooperative collaborative staff enabled referrals to be easily transferred to other agencies within the venue.</w:t>
      </w:r>
      <w:r>
        <w:rPr>
          <w:rFonts w:ascii="Arial" w:eastAsia="Times New Roman" w:hAnsi="Arial" w:cs="Arial"/>
          <w:sz w:val="24"/>
          <w:szCs w:val="24"/>
          <w:lang w:eastAsia="en-AU"/>
        </w:rPr>
        <w:t xml:space="preserve"> Formalisation of procedures would assist future recovery efforts.</w:t>
      </w:r>
    </w:p>
    <w:p w:rsidR="00354AF3" w:rsidRDefault="00354AF3"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p>
    <w:p w:rsidR="00292080" w:rsidRPr="00292080" w:rsidRDefault="00D810A1"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The </w:t>
      </w:r>
      <w:r w:rsidR="00033362">
        <w:rPr>
          <w:rFonts w:ascii="Arial" w:eastAsia="Times New Roman" w:hAnsi="Arial" w:cs="Arial"/>
          <w:sz w:val="24"/>
          <w:szCs w:val="24"/>
          <w:lang w:eastAsia="en-AU"/>
        </w:rPr>
        <w:t>Regional Emergency Coordination Centre’s (</w:t>
      </w:r>
      <w:r w:rsidR="00292080" w:rsidRPr="00292080">
        <w:rPr>
          <w:rFonts w:ascii="Arial" w:eastAsia="Times New Roman" w:hAnsi="Arial" w:cs="Arial"/>
          <w:sz w:val="24"/>
          <w:szCs w:val="24"/>
          <w:lang w:eastAsia="en-AU"/>
        </w:rPr>
        <w:t>RECC</w:t>
      </w:r>
      <w:r w:rsidR="00033362">
        <w:rPr>
          <w:rFonts w:ascii="Arial" w:eastAsia="Times New Roman" w:hAnsi="Arial" w:cs="Arial"/>
          <w:sz w:val="24"/>
          <w:szCs w:val="24"/>
          <w:lang w:eastAsia="en-AU"/>
        </w:rPr>
        <w:t>)</w:t>
      </w:r>
      <w:r w:rsidR="00292080" w:rsidRPr="00292080">
        <w:rPr>
          <w:rFonts w:ascii="Arial" w:eastAsia="Times New Roman" w:hAnsi="Arial" w:cs="Arial"/>
          <w:sz w:val="24"/>
          <w:szCs w:val="24"/>
          <w:lang w:eastAsia="en-AU"/>
        </w:rPr>
        <w:t xml:space="preserve"> played a key role in identifying issues, collating extent of damage and contributing to consequence management. The value of effective coordination at </w:t>
      </w:r>
      <w:r w:rsidR="000F4E49">
        <w:rPr>
          <w:rFonts w:ascii="Arial" w:eastAsia="Times New Roman" w:hAnsi="Arial" w:cs="Arial"/>
          <w:sz w:val="24"/>
          <w:szCs w:val="24"/>
          <w:lang w:eastAsia="en-AU"/>
        </w:rPr>
        <w:t>a regional level to inform upwards to the state level</w:t>
      </w:r>
      <w:r w:rsidR="00292080" w:rsidRPr="00292080">
        <w:rPr>
          <w:rFonts w:ascii="Arial" w:eastAsia="Times New Roman" w:hAnsi="Arial" w:cs="Arial"/>
          <w:sz w:val="24"/>
          <w:szCs w:val="24"/>
          <w:lang w:eastAsia="en-AU"/>
        </w:rPr>
        <w:t xml:space="preserve"> of broader issues should not be underestimated. There is a potential for duplication of effort where communication and reporting lines are not clearly established.</w:t>
      </w:r>
    </w:p>
    <w:p w:rsidR="000F4E49" w:rsidRDefault="00292080"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292080">
        <w:rPr>
          <w:rFonts w:ascii="Arial" w:eastAsia="Times New Roman" w:hAnsi="Arial" w:cs="Arial"/>
          <w:sz w:val="24"/>
          <w:szCs w:val="24"/>
          <w:lang w:eastAsia="en-AU"/>
        </w:rPr>
        <w:t>There was a strong commitment of interaction, support and cooperation between councils and government agencies, in prioritising works (particularly road, bridge repair).</w:t>
      </w:r>
      <w:r w:rsidR="00033362">
        <w:rPr>
          <w:rFonts w:ascii="Arial" w:eastAsia="Times New Roman" w:hAnsi="Arial" w:cs="Arial"/>
          <w:sz w:val="24"/>
          <w:szCs w:val="24"/>
          <w:lang w:eastAsia="en-AU"/>
        </w:rPr>
        <w:t xml:space="preserve"> </w:t>
      </w:r>
    </w:p>
    <w:p w:rsidR="00D810A1" w:rsidRDefault="00033362"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033362">
        <w:rPr>
          <w:rFonts w:ascii="Arial" w:eastAsia="Times New Roman" w:hAnsi="Arial" w:cs="Arial"/>
          <w:sz w:val="24"/>
          <w:szCs w:val="24"/>
          <w:lang w:eastAsia="en-AU"/>
        </w:rPr>
        <w:t>The SES acknowledges the efforts of the State Recovery Coordinator, Commander Peter Edwards, and the Tasmania Flood Recovery Task Force.</w:t>
      </w:r>
      <w:r>
        <w:rPr>
          <w:rFonts w:ascii="Arial" w:eastAsia="Times New Roman" w:hAnsi="Arial" w:cs="Arial"/>
          <w:sz w:val="24"/>
          <w:szCs w:val="24"/>
          <w:lang w:eastAsia="en-AU"/>
        </w:rPr>
        <w:t xml:space="preserve">  </w:t>
      </w:r>
    </w:p>
    <w:p w:rsidR="006720A3" w:rsidRPr="00042DD0" w:rsidRDefault="006720A3" w:rsidP="00E5492D">
      <w:pPr>
        <w:jc w:val="both"/>
        <w:rPr>
          <w:rFonts w:ascii="Arial" w:eastAsia="Times New Roman" w:hAnsi="Arial" w:cs="Arial"/>
          <w:b/>
          <w:sz w:val="24"/>
          <w:szCs w:val="24"/>
          <w:lang w:eastAsia="en-AU"/>
        </w:rPr>
      </w:pPr>
      <w:r w:rsidRPr="00042DD0">
        <w:rPr>
          <w:rFonts w:ascii="Arial" w:eastAsia="Times New Roman" w:hAnsi="Arial" w:cs="Arial"/>
          <w:b/>
          <w:sz w:val="24"/>
          <w:szCs w:val="24"/>
          <w:lang w:eastAsia="en-AU"/>
        </w:rPr>
        <w:t>Consideration of the detrimental environmental effects of the flooding upon the landscape, and what effective mitigation measures may be necessary to avoid similar events.</w:t>
      </w:r>
    </w:p>
    <w:p w:rsidR="006720A3" w:rsidRPr="00042DD0" w:rsidRDefault="00033362" w:rsidP="00E5492D">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Pr>
          <w:rFonts w:ascii="Arial" w:eastAsia="Times New Roman" w:hAnsi="Arial" w:cs="Arial"/>
          <w:sz w:val="24"/>
          <w:szCs w:val="24"/>
          <w:lang w:eastAsia="en-AU"/>
        </w:rPr>
        <w:t xml:space="preserve">SES will defer to the final report of the Tasmania Flood Recovery Task Force, which will include </w:t>
      </w:r>
      <w:r w:rsidR="000F4E49">
        <w:rPr>
          <w:rFonts w:ascii="Arial" w:eastAsia="Times New Roman" w:hAnsi="Arial" w:cs="Arial"/>
          <w:sz w:val="24"/>
          <w:szCs w:val="24"/>
          <w:lang w:eastAsia="en-AU"/>
        </w:rPr>
        <w:t xml:space="preserve">key </w:t>
      </w:r>
      <w:r>
        <w:rPr>
          <w:rFonts w:ascii="Arial" w:eastAsia="Times New Roman" w:hAnsi="Arial" w:cs="Arial"/>
          <w:sz w:val="24"/>
          <w:szCs w:val="24"/>
          <w:lang w:eastAsia="en-AU"/>
        </w:rPr>
        <w:t>lessons learned.</w:t>
      </w:r>
    </w:p>
    <w:p w:rsidR="006720A3" w:rsidRDefault="006720A3" w:rsidP="00E5492D">
      <w:pPr>
        <w:shd w:val="clear" w:color="auto" w:fill="FFFFFF"/>
        <w:spacing w:before="100" w:beforeAutospacing="1" w:after="100" w:afterAutospacing="1" w:line="234" w:lineRule="atLeast"/>
        <w:jc w:val="both"/>
        <w:rPr>
          <w:rFonts w:ascii="Arial" w:eastAsia="Times New Roman" w:hAnsi="Arial" w:cs="Arial"/>
          <w:b/>
          <w:sz w:val="24"/>
          <w:szCs w:val="24"/>
          <w:lang w:eastAsia="en-AU"/>
        </w:rPr>
      </w:pPr>
      <w:r w:rsidRPr="00042DD0">
        <w:rPr>
          <w:rFonts w:ascii="Arial" w:eastAsia="Times New Roman" w:hAnsi="Arial" w:cs="Arial"/>
          <w:b/>
          <w:sz w:val="24"/>
          <w:szCs w:val="24"/>
          <w:lang w:eastAsia="en-AU"/>
        </w:rPr>
        <w:t>And any other matters relevant to the terms of reference.</w:t>
      </w:r>
    </w:p>
    <w:p w:rsidR="000D5CDE" w:rsidRPr="000D5CDE" w:rsidRDefault="000D5CDE" w:rsidP="000D5CDE">
      <w:pPr>
        <w:shd w:val="clear" w:color="auto" w:fill="FFFFFF"/>
        <w:spacing w:before="100" w:beforeAutospacing="1" w:after="100" w:afterAutospacing="1" w:line="234" w:lineRule="atLeast"/>
        <w:rPr>
          <w:rFonts w:ascii="Arial" w:eastAsia="Times New Roman" w:hAnsi="Arial" w:cs="Arial"/>
          <w:sz w:val="24"/>
          <w:szCs w:val="24"/>
          <w:u w:val="single"/>
          <w:lang w:eastAsia="en-AU"/>
        </w:rPr>
      </w:pPr>
      <w:r w:rsidRPr="000D5CDE">
        <w:rPr>
          <w:rFonts w:ascii="Arial" w:eastAsia="Times New Roman" w:hAnsi="Arial" w:cs="Arial"/>
          <w:sz w:val="24"/>
          <w:szCs w:val="24"/>
          <w:u w:val="single"/>
          <w:lang w:eastAsia="en-AU"/>
        </w:rPr>
        <w:t>Response Agency Inter-operability</w:t>
      </w:r>
    </w:p>
    <w:p w:rsidR="000D5CDE" w:rsidRDefault="000D5CDE" w:rsidP="000D5CDE">
      <w:pPr>
        <w:shd w:val="clear" w:color="auto" w:fill="FFFFFF"/>
        <w:spacing w:before="100" w:beforeAutospacing="1" w:after="100" w:afterAutospacing="1" w:line="234" w:lineRule="atLeast"/>
        <w:rPr>
          <w:rFonts w:ascii="Arial" w:eastAsia="Times New Roman" w:hAnsi="Arial" w:cs="Arial"/>
          <w:sz w:val="24"/>
          <w:szCs w:val="24"/>
          <w:lang w:eastAsia="en-AU"/>
        </w:rPr>
      </w:pPr>
      <w:r w:rsidRPr="000D5CDE">
        <w:rPr>
          <w:rFonts w:ascii="Arial" w:eastAsia="Times New Roman" w:hAnsi="Arial" w:cs="Arial"/>
          <w:sz w:val="24"/>
          <w:szCs w:val="24"/>
          <w:lang w:eastAsia="en-AU"/>
        </w:rPr>
        <w:t>It was noted in the SES After-Action Review (AAR) that for a protracted event, SES lacks sufficient staff and volunteers to effectively manage an ROC without external support.</w:t>
      </w:r>
      <w:r>
        <w:rPr>
          <w:rFonts w:ascii="Arial" w:eastAsia="Times New Roman" w:hAnsi="Arial" w:cs="Arial"/>
          <w:sz w:val="24"/>
          <w:szCs w:val="24"/>
          <w:lang w:eastAsia="en-AU"/>
        </w:rPr>
        <w:t xml:space="preserve"> This support was given freely by Tasmania Fire Service, and others throughout the flood event. </w:t>
      </w:r>
    </w:p>
    <w:p w:rsidR="000D5CDE" w:rsidRPr="000D5CDE" w:rsidRDefault="000D5CDE" w:rsidP="000D5CDE">
      <w:pPr>
        <w:shd w:val="clear" w:color="auto" w:fill="FFFFFF"/>
        <w:spacing w:before="100" w:beforeAutospacing="1" w:after="100" w:afterAutospacing="1" w:line="234" w:lineRule="atLeast"/>
        <w:rPr>
          <w:rFonts w:ascii="Arial" w:eastAsia="Times New Roman" w:hAnsi="Arial" w:cs="Arial"/>
          <w:sz w:val="24"/>
          <w:szCs w:val="24"/>
          <w:lang w:eastAsia="en-AU"/>
        </w:rPr>
      </w:pPr>
      <w:r>
        <w:rPr>
          <w:rFonts w:ascii="Arial" w:eastAsia="Times New Roman" w:hAnsi="Arial" w:cs="Arial"/>
          <w:sz w:val="24"/>
          <w:szCs w:val="24"/>
          <w:lang w:eastAsia="en-AU"/>
        </w:rPr>
        <w:t>The level of inter-operability across multiple agencies and services was assessed as excellent; noting improvements can always be sought. Coming off the experience of a protracted fire campaign, relationships were clearly established and a combined approach was clearly demonstrated; regardless of uniform.</w:t>
      </w:r>
    </w:p>
    <w:p w:rsidR="000D5CDE" w:rsidRPr="000D5CDE" w:rsidRDefault="000D5CDE" w:rsidP="000D5CDE">
      <w:pPr>
        <w:shd w:val="clear" w:color="auto" w:fill="FFFFFF"/>
        <w:spacing w:before="100" w:beforeAutospacing="1" w:after="100" w:afterAutospacing="1" w:line="234" w:lineRule="atLeast"/>
        <w:rPr>
          <w:rFonts w:ascii="Arial" w:eastAsia="Times New Roman" w:hAnsi="Arial" w:cs="Arial"/>
          <w:sz w:val="24"/>
          <w:szCs w:val="24"/>
          <w:lang w:eastAsia="en-AU"/>
        </w:rPr>
      </w:pPr>
      <w:r>
        <w:rPr>
          <w:rFonts w:ascii="Arial" w:eastAsia="Times New Roman" w:hAnsi="Arial" w:cs="Arial"/>
          <w:sz w:val="24"/>
          <w:szCs w:val="24"/>
          <w:lang w:eastAsia="en-AU"/>
        </w:rPr>
        <w:t>Notwithstanding this,</w:t>
      </w:r>
      <w:r w:rsidRPr="000D5CDE">
        <w:rPr>
          <w:rFonts w:ascii="Arial" w:eastAsia="Times New Roman" w:hAnsi="Arial" w:cs="Arial"/>
          <w:sz w:val="24"/>
          <w:szCs w:val="24"/>
          <w:lang w:eastAsia="en-AU"/>
        </w:rPr>
        <w:t xml:space="preserve"> the </w:t>
      </w:r>
      <w:r>
        <w:rPr>
          <w:rFonts w:ascii="Arial" w:eastAsia="Times New Roman" w:hAnsi="Arial" w:cs="Arial"/>
          <w:sz w:val="24"/>
          <w:szCs w:val="24"/>
          <w:lang w:eastAsia="en-AU"/>
        </w:rPr>
        <w:t xml:space="preserve">SES </w:t>
      </w:r>
      <w:r w:rsidRPr="000D5CDE">
        <w:rPr>
          <w:rFonts w:ascii="Arial" w:eastAsia="Times New Roman" w:hAnsi="Arial" w:cs="Arial"/>
          <w:sz w:val="24"/>
          <w:szCs w:val="24"/>
          <w:lang w:eastAsia="en-AU"/>
        </w:rPr>
        <w:t>AAR identified the need to better link with emergency management committees and to engage with other stakeholders such as local government. There would be benefit in seeking a multi-agency exercising program</w:t>
      </w:r>
      <w:r>
        <w:rPr>
          <w:rFonts w:ascii="Arial" w:eastAsia="Times New Roman" w:hAnsi="Arial" w:cs="Arial"/>
          <w:sz w:val="24"/>
          <w:szCs w:val="24"/>
          <w:lang w:eastAsia="en-AU"/>
        </w:rPr>
        <w:t xml:space="preserve"> to this affect</w:t>
      </w:r>
      <w:r w:rsidRPr="000D5CDE">
        <w:rPr>
          <w:rFonts w:ascii="Arial" w:eastAsia="Times New Roman" w:hAnsi="Arial" w:cs="Arial"/>
          <w:sz w:val="24"/>
          <w:szCs w:val="24"/>
          <w:lang w:eastAsia="en-AU"/>
        </w:rPr>
        <w:t xml:space="preserve">. In general, personnel from the Tasmania Fire Service did not feel their services were fully used, and interoperability </w:t>
      </w:r>
      <w:r>
        <w:rPr>
          <w:rFonts w:ascii="Arial" w:eastAsia="Times New Roman" w:hAnsi="Arial" w:cs="Arial"/>
          <w:sz w:val="24"/>
          <w:szCs w:val="24"/>
          <w:lang w:eastAsia="en-AU"/>
        </w:rPr>
        <w:t xml:space="preserve">arrangements </w:t>
      </w:r>
      <w:r w:rsidRPr="000D5CDE">
        <w:rPr>
          <w:rFonts w:ascii="Arial" w:eastAsia="Times New Roman" w:hAnsi="Arial" w:cs="Arial"/>
          <w:sz w:val="24"/>
          <w:szCs w:val="24"/>
          <w:lang w:eastAsia="en-AU"/>
        </w:rPr>
        <w:t>could be improved</w:t>
      </w:r>
      <w:r>
        <w:rPr>
          <w:rFonts w:ascii="Arial" w:eastAsia="Times New Roman" w:hAnsi="Arial" w:cs="Arial"/>
          <w:sz w:val="24"/>
          <w:szCs w:val="24"/>
          <w:lang w:eastAsia="en-AU"/>
        </w:rPr>
        <w:t xml:space="preserve"> through combined training, flood awareness provision etc</w:t>
      </w:r>
      <w:r w:rsidRPr="000D5CDE">
        <w:rPr>
          <w:rFonts w:ascii="Arial" w:eastAsia="Times New Roman" w:hAnsi="Arial" w:cs="Arial"/>
          <w:sz w:val="24"/>
          <w:szCs w:val="24"/>
          <w:lang w:eastAsia="en-AU"/>
        </w:rPr>
        <w:t>.</w:t>
      </w:r>
    </w:p>
    <w:p w:rsidR="000D5CDE" w:rsidRDefault="000D5CDE" w:rsidP="000D5CDE">
      <w:pPr>
        <w:shd w:val="clear" w:color="auto" w:fill="FFFFFF"/>
        <w:spacing w:before="100" w:beforeAutospacing="1" w:after="100" w:afterAutospacing="1" w:line="234" w:lineRule="atLeast"/>
        <w:rPr>
          <w:rFonts w:ascii="Arial" w:eastAsia="Times New Roman" w:hAnsi="Arial" w:cs="Arial"/>
          <w:sz w:val="24"/>
          <w:szCs w:val="24"/>
          <w:u w:val="single"/>
          <w:lang w:eastAsia="en-AU"/>
        </w:rPr>
      </w:pPr>
      <w:r w:rsidRPr="000D5CDE">
        <w:rPr>
          <w:rFonts w:ascii="Arial" w:eastAsia="Times New Roman" w:hAnsi="Arial" w:cs="Arial"/>
          <w:sz w:val="24"/>
          <w:szCs w:val="24"/>
          <w:lang w:eastAsia="en-AU"/>
        </w:rPr>
        <w:t>The SES notes that the Emergency Management Reforms Project is currently planning the implementation of the recommendations arising from the 2015 Department of Justice Review into the Emergency Management arrangements for Tasmania; several of the recommendations relate to enhancing exercise management arrangements for multiple agencies within Tasmania</w:t>
      </w:r>
      <w:r w:rsidRPr="000D5CDE">
        <w:rPr>
          <w:rFonts w:ascii="Arial" w:eastAsia="Times New Roman" w:hAnsi="Arial" w:cs="Arial"/>
          <w:sz w:val="24"/>
          <w:szCs w:val="24"/>
          <w:u w:val="single"/>
          <w:lang w:eastAsia="en-AU"/>
        </w:rPr>
        <w:t>.</w:t>
      </w:r>
    </w:p>
    <w:p w:rsidR="000D5CDE" w:rsidRDefault="000D5CDE" w:rsidP="000D5CDE">
      <w:pPr>
        <w:shd w:val="clear" w:color="auto" w:fill="FFFFFF"/>
        <w:spacing w:before="100" w:beforeAutospacing="1" w:after="100" w:afterAutospacing="1" w:line="234" w:lineRule="atLeast"/>
        <w:rPr>
          <w:rFonts w:ascii="Arial" w:eastAsia="Times New Roman" w:hAnsi="Arial" w:cs="Arial"/>
          <w:sz w:val="24"/>
          <w:szCs w:val="24"/>
          <w:u w:val="single"/>
          <w:lang w:eastAsia="en-AU"/>
        </w:rPr>
      </w:pPr>
    </w:p>
    <w:p w:rsidR="008B7563" w:rsidRDefault="008B7563" w:rsidP="000D5CDE">
      <w:pPr>
        <w:shd w:val="clear" w:color="auto" w:fill="FFFFFF"/>
        <w:spacing w:before="100" w:beforeAutospacing="1" w:after="100" w:afterAutospacing="1" w:line="234" w:lineRule="atLeast"/>
        <w:rPr>
          <w:rFonts w:ascii="Arial" w:eastAsia="Times New Roman" w:hAnsi="Arial" w:cs="Arial"/>
          <w:sz w:val="24"/>
          <w:szCs w:val="24"/>
          <w:u w:val="single"/>
          <w:lang w:eastAsia="en-AU"/>
        </w:rPr>
      </w:pPr>
      <w:r>
        <w:rPr>
          <w:rFonts w:ascii="Arial" w:eastAsia="Times New Roman" w:hAnsi="Arial" w:cs="Arial"/>
          <w:sz w:val="24"/>
          <w:szCs w:val="24"/>
          <w:u w:val="single"/>
          <w:lang w:eastAsia="en-AU"/>
        </w:rPr>
        <w:t>Ouse</w:t>
      </w:r>
    </w:p>
    <w:p w:rsidR="008B7563" w:rsidRDefault="008B7563" w:rsidP="008B79EF">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8B7563">
        <w:rPr>
          <w:rFonts w:ascii="Arial" w:eastAsia="Times New Roman" w:hAnsi="Arial" w:cs="Arial"/>
          <w:sz w:val="24"/>
          <w:szCs w:val="24"/>
          <w:lang w:eastAsia="en-AU"/>
        </w:rPr>
        <w:t>A substantial amount of work was undertaken at Ouse</w:t>
      </w:r>
      <w:r>
        <w:rPr>
          <w:rFonts w:ascii="Arial" w:eastAsia="Times New Roman" w:hAnsi="Arial" w:cs="Arial"/>
          <w:sz w:val="24"/>
          <w:szCs w:val="24"/>
          <w:lang w:eastAsia="en-AU"/>
        </w:rPr>
        <w:t xml:space="preserve"> by SES volunteers which included:</w:t>
      </w:r>
      <w:r w:rsidRPr="008B7563">
        <w:rPr>
          <w:rFonts w:ascii="Arial" w:eastAsia="Times New Roman" w:hAnsi="Arial" w:cs="Arial"/>
          <w:sz w:val="24"/>
          <w:szCs w:val="24"/>
          <w:lang w:eastAsia="en-AU"/>
        </w:rPr>
        <w:t xml:space="preserve"> </w:t>
      </w:r>
    </w:p>
    <w:p w:rsidR="008B7563" w:rsidRDefault="008B7563" w:rsidP="008B79EF">
      <w:pPr>
        <w:pStyle w:val="ListParagraph"/>
        <w:numPr>
          <w:ilvl w:val="0"/>
          <w:numId w:val="60"/>
        </w:numPr>
        <w:shd w:val="clear" w:color="auto" w:fill="FFFFFF"/>
        <w:spacing w:after="120" w:line="234" w:lineRule="atLeast"/>
        <w:ind w:left="357" w:hanging="357"/>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providing s</w:t>
      </w:r>
      <w:r w:rsidRPr="008B7563">
        <w:rPr>
          <w:rFonts w:ascii="Arial" w:eastAsia="Times New Roman" w:hAnsi="Arial" w:cs="Arial"/>
          <w:sz w:val="24"/>
          <w:szCs w:val="24"/>
          <w:lang w:eastAsia="en-AU"/>
        </w:rPr>
        <w:t>uppo</w:t>
      </w:r>
      <w:r>
        <w:rPr>
          <w:rFonts w:ascii="Arial" w:eastAsia="Times New Roman" w:hAnsi="Arial" w:cs="Arial"/>
          <w:sz w:val="24"/>
          <w:szCs w:val="24"/>
          <w:lang w:eastAsia="en-AU"/>
        </w:rPr>
        <w:t>rt to Police in the search for</w:t>
      </w:r>
      <w:r w:rsidRPr="008B7563">
        <w:rPr>
          <w:rFonts w:ascii="Arial" w:eastAsia="Times New Roman" w:hAnsi="Arial" w:cs="Arial"/>
          <w:sz w:val="24"/>
          <w:szCs w:val="24"/>
          <w:lang w:eastAsia="en-AU"/>
        </w:rPr>
        <w:t xml:space="preserve"> missing farmer</w:t>
      </w:r>
      <w:r>
        <w:rPr>
          <w:rFonts w:ascii="Arial" w:eastAsia="Times New Roman" w:hAnsi="Arial" w:cs="Arial"/>
          <w:sz w:val="24"/>
          <w:szCs w:val="24"/>
          <w:lang w:eastAsia="en-AU"/>
        </w:rPr>
        <w:t>, Trevor Foster;</w:t>
      </w:r>
    </w:p>
    <w:p w:rsidR="008B7563" w:rsidRDefault="008B7563" w:rsidP="008B79EF">
      <w:pPr>
        <w:pStyle w:val="ListParagraph"/>
        <w:numPr>
          <w:ilvl w:val="0"/>
          <w:numId w:val="60"/>
        </w:numPr>
        <w:shd w:val="clear" w:color="auto" w:fill="FFFFFF"/>
        <w:spacing w:after="120" w:line="234" w:lineRule="atLeast"/>
        <w:ind w:left="357" w:hanging="357"/>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sandbagging houses;</w:t>
      </w:r>
    </w:p>
    <w:p w:rsidR="008B7563" w:rsidRDefault="008B7563" w:rsidP="008B79EF">
      <w:pPr>
        <w:pStyle w:val="ListParagraph"/>
        <w:numPr>
          <w:ilvl w:val="0"/>
          <w:numId w:val="60"/>
        </w:numPr>
        <w:shd w:val="clear" w:color="auto" w:fill="FFFFFF"/>
        <w:spacing w:after="120" w:line="234" w:lineRule="atLeast"/>
        <w:ind w:left="357" w:hanging="357"/>
        <w:contextualSpacing w:val="0"/>
        <w:jc w:val="both"/>
        <w:rPr>
          <w:rFonts w:ascii="Arial" w:eastAsia="Times New Roman" w:hAnsi="Arial" w:cs="Arial"/>
          <w:sz w:val="24"/>
          <w:szCs w:val="24"/>
          <w:lang w:eastAsia="en-AU"/>
        </w:rPr>
      </w:pPr>
      <w:r w:rsidRPr="008B7563">
        <w:rPr>
          <w:rFonts w:ascii="Arial" w:eastAsia="Times New Roman" w:hAnsi="Arial" w:cs="Arial"/>
          <w:sz w:val="24"/>
          <w:szCs w:val="24"/>
          <w:lang w:eastAsia="en-AU"/>
        </w:rPr>
        <w:t>managing the e</w:t>
      </w:r>
      <w:r>
        <w:rPr>
          <w:rFonts w:ascii="Arial" w:eastAsia="Times New Roman" w:hAnsi="Arial" w:cs="Arial"/>
          <w:sz w:val="24"/>
          <w:szCs w:val="24"/>
          <w:lang w:eastAsia="en-AU"/>
        </w:rPr>
        <w:t>vacuation of some residents;</w:t>
      </w:r>
      <w:r w:rsidRPr="008B7563">
        <w:rPr>
          <w:rFonts w:ascii="Arial" w:eastAsia="Times New Roman" w:hAnsi="Arial" w:cs="Arial"/>
          <w:sz w:val="24"/>
          <w:szCs w:val="24"/>
          <w:lang w:eastAsia="en-AU"/>
        </w:rPr>
        <w:t xml:space="preserve"> and </w:t>
      </w:r>
    </w:p>
    <w:p w:rsidR="008B7563" w:rsidRDefault="008B7563" w:rsidP="008B79EF">
      <w:pPr>
        <w:pStyle w:val="ListParagraph"/>
        <w:numPr>
          <w:ilvl w:val="0"/>
          <w:numId w:val="60"/>
        </w:numPr>
        <w:shd w:val="clear" w:color="auto" w:fill="FFFFFF"/>
        <w:spacing w:after="120" w:line="234" w:lineRule="atLeast"/>
        <w:ind w:left="357" w:hanging="357"/>
        <w:contextualSpacing w:val="0"/>
        <w:jc w:val="both"/>
        <w:rPr>
          <w:rFonts w:ascii="Arial" w:eastAsia="Times New Roman" w:hAnsi="Arial" w:cs="Arial"/>
          <w:sz w:val="24"/>
          <w:szCs w:val="24"/>
          <w:lang w:eastAsia="en-AU"/>
        </w:rPr>
      </w:pPr>
      <w:r w:rsidRPr="008B7563">
        <w:rPr>
          <w:rFonts w:ascii="Arial" w:eastAsia="Times New Roman" w:hAnsi="Arial" w:cs="Arial"/>
          <w:sz w:val="24"/>
          <w:szCs w:val="24"/>
          <w:lang w:eastAsia="en-AU"/>
        </w:rPr>
        <w:t xml:space="preserve">the road closure of the Lyell Highway as a result of rising river levels in the Ouse River. </w:t>
      </w:r>
    </w:p>
    <w:p w:rsidR="008B7563" w:rsidRPr="008B7563" w:rsidRDefault="008B7563" w:rsidP="008B79EF">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8B7563">
        <w:rPr>
          <w:rFonts w:ascii="Arial" w:eastAsia="Times New Roman" w:hAnsi="Arial" w:cs="Arial"/>
          <w:sz w:val="24"/>
          <w:szCs w:val="24"/>
          <w:lang w:eastAsia="en-AU"/>
        </w:rPr>
        <w:t>The Ouse River flow peaked at around 480 cumecs at 7 pm on M</w:t>
      </w:r>
      <w:r>
        <w:rPr>
          <w:rFonts w:ascii="Arial" w:eastAsia="Times New Roman" w:hAnsi="Arial" w:cs="Arial"/>
          <w:sz w:val="24"/>
          <w:szCs w:val="24"/>
          <w:lang w:eastAsia="en-AU"/>
        </w:rPr>
        <w:t>onday 6 June. T</w:t>
      </w:r>
      <w:r w:rsidRPr="008B7563">
        <w:rPr>
          <w:rFonts w:ascii="Arial" w:eastAsia="Times New Roman" w:hAnsi="Arial" w:cs="Arial"/>
          <w:sz w:val="24"/>
          <w:szCs w:val="24"/>
          <w:lang w:eastAsia="en-AU"/>
        </w:rPr>
        <w:t xml:space="preserve">here is no specific flood plan for the Ouse River and before the river level exceeded 6 metres at the Ouse River Bridge the flood gauge was not visible. </w:t>
      </w:r>
    </w:p>
    <w:p w:rsidR="0019277D" w:rsidRDefault="008B7563" w:rsidP="008B79EF">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8B7563">
        <w:rPr>
          <w:rFonts w:ascii="Arial" w:eastAsia="Times New Roman" w:hAnsi="Arial" w:cs="Arial"/>
          <w:sz w:val="24"/>
          <w:szCs w:val="24"/>
          <w:lang w:eastAsia="en-AU"/>
        </w:rPr>
        <w:t>A total of seven houses were evacuated at Ouse and a number of outlying rural properties were also inundated. It was noted that a plan for evacuation of vulnerable people might have been beneficial for better situational awareness and efficient evacuation at Ouse.</w:t>
      </w:r>
    </w:p>
    <w:p w:rsidR="008B7563" w:rsidRPr="008B7563" w:rsidRDefault="008B7563" w:rsidP="008B7563">
      <w:pPr>
        <w:shd w:val="clear" w:color="auto" w:fill="FFFFFF"/>
        <w:spacing w:before="100" w:beforeAutospacing="1" w:after="100" w:afterAutospacing="1" w:line="234" w:lineRule="atLeast"/>
        <w:rPr>
          <w:rFonts w:ascii="Arial" w:eastAsia="Times New Roman" w:hAnsi="Arial" w:cs="Arial"/>
          <w:sz w:val="24"/>
          <w:szCs w:val="24"/>
          <w:u w:val="single"/>
          <w:lang w:eastAsia="en-AU"/>
        </w:rPr>
      </w:pPr>
      <w:r w:rsidRPr="008B7563">
        <w:rPr>
          <w:rFonts w:ascii="Arial" w:eastAsia="Times New Roman" w:hAnsi="Arial" w:cs="Arial"/>
          <w:sz w:val="24"/>
          <w:szCs w:val="24"/>
          <w:u w:val="single"/>
          <w:lang w:eastAsia="en-AU"/>
        </w:rPr>
        <w:t>General</w:t>
      </w:r>
    </w:p>
    <w:p w:rsidR="006E292B" w:rsidRPr="00042DD0" w:rsidRDefault="006E292B" w:rsidP="008B79EF">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042DD0">
        <w:rPr>
          <w:rFonts w:ascii="Arial" w:eastAsia="Times New Roman" w:hAnsi="Arial" w:cs="Arial"/>
          <w:sz w:val="24"/>
          <w:szCs w:val="24"/>
          <w:lang w:eastAsia="en-AU"/>
        </w:rPr>
        <w:t xml:space="preserve">Under successive </w:t>
      </w:r>
      <w:r w:rsidRPr="00042DD0">
        <w:rPr>
          <w:rFonts w:ascii="Arial" w:eastAsia="Times New Roman" w:hAnsi="Arial" w:cs="Arial"/>
          <w:i/>
          <w:sz w:val="24"/>
          <w:szCs w:val="24"/>
          <w:lang w:eastAsia="en-AU"/>
        </w:rPr>
        <w:t>National Partnership Agreements on Natural Disaster Resilience</w:t>
      </w:r>
      <w:r w:rsidRPr="00042DD0">
        <w:rPr>
          <w:rFonts w:ascii="Arial" w:eastAsia="Times New Roman" w:hAnsi="Arial" w:cs="Arial"/>
          <w:sz w:val="24"/>
          <w:szCs w:val="24"/>
          <w:lang w:eastAsia="en-AU"/>
        </w:rPr>
        <w:t xml:space="preserve"> the State Emergency Service administers the provision of financial grants to eligible organisations to undertake a range of activities intended to build the resilience of Tasmanian communities to natural disasters. </w:t>
      </w:r>
    </w:p>
    <w:p w:rsidR="0019277D" w:rsidRDefault="003F67E3" w:rsidP="008B79EF">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042DD0">
        <w:rPr>
          <w:rFonts w:ascii="Arial" w:eastAsia="Times New Roman" w:hAnsi="Arial" w:cs="Arial"/>
          <w:sz w:val="24"/>
          <w:szCs w:val="24"/>
          <w:lang w:eastAsia="en-AU"/>
        </w:rPr>
        <w:t>Since 2009 seventeen (17) grants totalling $0.9M have been made to recipients that directly relate to flood resilience building activities. An additional twenty (20) grants totalling $1.3M with an all-hazards focus have also been made. These grants are made on a dollar for dollar basis, with recipients required to contribute an equal amount to each project either in cash or in kind.</w:t>
      </w:r>
      <w:r w:rsidR="0031048A" w:rsidRPr="00042DD0">
        <w:rPr>
          <w:rFonts w:ascii="Arial" w:eastAsia="Times New Roman" w:hAnsi="Arial" w:cs="Arial"/>
          <w:sz w:val="24"/>
          <w:szCs w:val="24"/>
          <w:lang w:eastAsia="en-AU"/>
        </w:rPr>
        <w:t xml:space="preserve"> Within Tasmania the total investment in these thirty seven (37) natural disaster resilience building projects has a value of $4.4M. </w:t>
      </w:r>
      <w:r w:rsidR="006E292B" w:rsidRPr="00042DD0">
        <w:rPr>
          <w:rFonts w:ascii="Arial" w:eastAsia="Times New Roman" w:hAnsi="Arial" w:cs="Arial"/>
          <w:sz w:val="24"/>
          <w:szCs w:val="24"/>
          <w:lang w:eastAsia="en-AU"/>
        </w:rPr>
        <w:t xml:space="preserve">The nature of these grants is summarised in Appendix </w:t>
      </w:r>
      <w:r w:rsidR="00622F7B">
        <w:rPr>
          <w:rFonts w:ascii="Arial" w:eastAsia="Times New Roman" w:hAnsi="Arial" w:cs="Arial"/>
          <w:sz w:val="24"/>
          <w:szCs w:val="24"/>
          <w:lang w:eastAsia="en-AU"/>
        </w:rPr>
        <w:t>3</w:t>
      </w:r>
      <w:r w:rsidR="00F27436">
        <w:rPr>
          <w:rFonts w:ascii="Arial" w:eastAsia="Times New Roman" w:hAnsi="Arial" w:cs="Arial"/>
          <w:sz w:val="24"/>
          <w:szCs w:val="24"/>
          <w:lang w:eastAsia="en-AU"/>
        </w:rPr>
        <w:t>.</w:t>
      </w:r>
    </w:p>
    <w:p w:rsidR="00B91B94" w:rsidRPr="00B91B94" w:rsidRDefault="00B91B94" w:rsidP="00B91B94">
      <w:pPr>
        <w:rPr>
          <w:rFonts w:ascii="Arial" w:eastAsia="Times New Roman" w:hAnsi="Arial" w:cs="Arial"/>
          <w:b/>
          <w:sz w:val="24"/>
          <w:szCs w:val="24"/>
          <w:lang w:eastAsia="en-AU"/>
        </w:rPr>
      </w:pPr>
      <w:r w:rsidRPr="00B91B94">
        <w:rPr>
          <w:rFonts w:ascii="Arial" w:eastAsia="Times New Roman" w:hAnsi="Arial" w:cs="Arial"/>
          <w:b/>
          <w:sz w:val="24"/>
          <w:szCs w:val="24"/>
          <w:lang w:eastAsia="en-AU"/>
        </w:rPr>
        <w:t>Huon River Flood - 15 July 2016</w:t>
      </w:r>
    </w:p>
    <w:p w:rsidR="00B91B94" w:rsidRPr="00F27436" w:rsidRDefault="00F27436" w:rsidP="00B91B94">
      <w:pPr>
        <w:rPr>
          <w:rFonts w:ascii="Arial" w:eastAsia="Times New Roman" w:hAnsi="Arial" w:cs="Arial"/>
          <w:sz w:val="24"/>
          <w:szCs w:val="24"/>
          <w:u w:val="single"/>
          <w:lang w:eastAsia="en-AU"/>
        </w:rPr>
      </w:pPr>
      <w:r w:rsidRPr="00F27436">
        <w:rPr>
          <w:rFonts w:ascii="Arial" w:eastAsia="Times New Roman" w:hAnsi="Arial" w:cs="Arial"/>
          <w:sz w:val="24"/>
          <w:szCs w:val="24"/>
          <w:u w:val="single"/>
          <w:lang w:eastAsia="en-AU"/>
        </w:rPr>
        <w:t>Preparedness and Plans</w:t>
      </w:r>
    </w:p>
    <w:p w:rsidR="00066182" w:rsidRDefault="00B91B94" w:rsidP="008B79EF">
      <w:pPr>
        <w:jc w:val="both"/>
        <w:rPr>
          <w:rFonts w:ascii="Arial" w:eastAsia="Times New Roman" w:hAnsi="Arial" w:cs="Arial"/>
          <w:sz w:val="24"/>
          <w:szCs w:val="24"/>
          <w:lang w:eastAsia="en-AU"/>
        </w:rPr>
      </w:pPr>
      <w:r w:rsidRPr="00B91B94">
        <w:rPr>
          <w:rFonts w:ascii="Arial" w:eastAsia="Times New Roman" w:hAnsi="Arial" w:cs="Arial"/>
          <w:sz w:val="24"/>
          <w:szCs w:val="24"/>
          <w:lang w:eastAsia="en-AU"/>
        </w:rPr>
        <w:t>Strategies exist within the Huon Valley area that directly address the issue of potential flooding impact</w:t>
      </w:r>
      <w:r w:rsidR="003E4B2C">
        <w:rPr>
          <w:rFonts w:ascii="Arial" w:eastAsia="Times New Roman" w:hAnsi="Arial" w:cs="Arial"/>
          <w:sz w:val="24"/>
          <w:szCs w:val="24"/>
          <w:lang w:eastAsia="en-AU"/>
        </w:rPr>
        <w:t>,</w:t>
      </w:r>
      <w:r w:rsidRPr="00B91B94">
        <w:rPr>
          <w:rFonts w:ascii="Arial" w:eastAsia="Times New Roman" w:hAnsi="Arial" w:cs="Arial"/>
          <w:sz w:val="24"/>
          <w:szCs w:val="24"/>
          <w:lang w:eastAsia="en-AU"/>
        </w:rPr>
        <w:t xml:space="preserve"> particularly on the Huonville </w:t>
      </w:r>
      <w:r w:rsidR="00066182" w:rsidRPr="00B91B94">
        <w:rPr>
          <w:rFonts w:ascii="Arial" w:eastAsia="Times New Roman" w:hAnsi="Arial" w:cs="Arial"/>
          <w:sz w:val="24"/>
          <w:szCs w:val="24"/>
          <w:lang w:eastAsia="en-AU"/>
        </w:rPr>
        <w:t>Township</w:t>
      </w:r>
      <w:r w:rsidRPr="00B91B94">
        <w:rPr>
          <w:rFonts w:ascii="Arial" w:eastAsia="Times New Roman" w:hAnsi="Arial" w:cs="Arial"/>
          <w:sz w:val="24"/>
          <w:szCs w:val="24"/>
          <w:lang w:eastAsia="en-AU"/>
        </w:rPr>
        <w:t>. The Huon Valley council is wel</w:t>
      </w:r>
      <w:r w:rsidR="00066182">
        <w:rPr>
          <w:rFonts w:ascii="Arial" w:eastAsia="Times New Roman" w:hAnsi="Arial" w:cs="Arial"/>
          <w:sz w:val="24"/>
          <w:szCs w:val="24"/>
          <w:lang w:eastAsia="en-AU"/>
        </w:rPr>
        <w:t>l versed in dealing with localis</w:t>
      </w:r>
      <w:r w:rsidRPr="00B91B94">
        <w:rPr>
          <w:rFonts w:ascii="Arial" w:eastAsia="Times New Roman" w:hAnsi="Arial" w:cs="Arial"/>
          <w:sz w:val="24"/>
          <w:szCs w:val="24"/>
          <w:lang w:eastAsia="en-AU"/>
        </w:rPr>
        <w:t xml:space="preserve">ed flooding and have a number of plans, and subsequently systems, in place to tackle flooding issues. These include, but are not limited </w:t>
      </w:r>
      <w:r w:rsidR="00066182" w:rsidRPr="00B91B94">
        <w:rPr>
          <w:rFonts w:ascii="Arial" w:eastAsia="Times New Roman" w:hAnsi="Arial" w:cs="Arial"/>
          <w:sz w:val="24"/>
          <w:szCs w:val="24"/>
          <w:lang w:eastAsia="en-AU"/>
        </w:rPr>
        <w:t>to</w:t>
      </w:r>
      <w:r w:rsidR="003E4B2C">
        <w:rPr>
          <w:rFonts w:ascii="Arial" w:eastAsia="Times New Roman" w:hAnsi="Arial" w:cs="Arial"/>
          <w:sz w:val="24"/>
          <w:szCs w:val="24"/>
          <w:lang w:eastAsia="en-AU"/>
        </w:rPr>
        <w:t>:</w:t>
      </w:r>
      <w:r w:rsidRPr="00B91B94">
        <w:rPr>
          <w:rFonts w:ascii="Arial" w:eastAsia="Times New Roman" w:hAnsi="Arial" w:cs="Arial"/>
          <w:sz w:val="24"/>
          <w:szCs w:val="24"/>
          <w:lang w:eastAsia="en-AU"/>
        </w:rPr>
        <w:t xml:space="preserve"> </w:t>
      </w:r>
    </w:p>
    <w:p w:rsidR="00066182" w:rsidRDefault="00B91B94" w:rsidP="008B79EF">
      <w:pPr>
        <w:pStyle w:val="ListParagraph"/>
        <w:numPr>
          <w:ilvl w:val="0"/>
          <w:numId w:val="57"/>
        </w:numPr>
        <w:spacing w:after="120"/>
        <w:ind w:left="357" w:hanging="357"/>
        <w:contextualSpacing w:val="0"/>
        <w:jc w:val="both"/>
        <w:rPr>
          <w:rFonts w:ascii="Arial" w:eastAsia="Times New Roman" w:hAnsi="Arial" w:cs="Arial"/>
          <w:sz w:val="24"/>
          <w:szCs w:val="24"/>
          <w:lang w:eastAsia="en-AU"/>
        </w:rPr>
      </w:pPr>
      <w:r w:rsidRPr="00066182">
        <w:rPr>
          <w:rFonts w:ascii="Arial" w:eastAsia="Times New Roman" w:hAnsi="Arial" w:cs="Arial"/>
          <w:sz w:val="24"/>
          <w:szCs w:val="24"/>
          <w:lang w:eastAsia="en-AU"/>
        </w:rPr>
        <w:t>Huon V</w:t>
      </w:r>
      <w:r w:rsidR="00066182">
        <w:rPr>
          <w:rFonts w:ascii="Arial" w:eastAsia="Times New Roman" w:hAnsi="Arial" w:cs="Arial"/>
          <w:sz w:val="24"/>
          <w:szCs w:val="24"/>
          <w:lang w:eastAsia="en-AU"/>
        </w:rPr>
        <w:t>alley Emergency Management Plan</w:t>
      </w:r>
    </w:p>
    <w:p w:rsidR="00985921" w:rsidRDefault="00B91B94" w:rsidP="008B79EF">
      <w:pPr>
        <w:pStyle w:val="ListParagraph"/>
        <w:numPr>
          <w:ilvl w:val="0"/>
          <w:numId w:val="57"/>
        </w:numPr>
        <w:spacing w:after="120"/>
        <w:ind w:left="357" w:hanging="357"/>
        <w:contextualSpacing w:val="0"/>
        <w:jc w:val="both"/>
        <w:rPr>
          <w:rFonts w:ascii="Arial" w:eastAsia="Times New Roman" w:hAnsi="Arial" w:cs="Arial"/>
          <w:sz w:val="24"/>
          <w:szCs w:val="24"/>
          <w:lang w:eastAsia="en-AU"/>
        </w:rPr>
      </w:pPr>
      <w:r w:rsidRPr="00066182">
        <w:rPr>
          <w:rFonts w:ascii="Arial" w:eastAsia="Times New Roman" w:hAnsi="Arial" w:cs="Arial"/>
          <w:sz w:val="24"/>
          <w:szCs w:val="24"/>
          <w:lang w:eastAsia="en-AU"/>
        </w:rPr>
        <w:t>Hu</w:t>
      </w:r>
      <w:r w:rsidR="00985921">
        <w:rPr>
          <w:rFonts w:ascii="Arial" w:eastAsia="Times New Roman" w:hAnsi="Arial" w:cs="Arial"/>
          <w:sz w:val="24"/>
          <w:szCs w:val="24"/>
          <w:lang w:eastAsia="en-AU"/>
        </w:rPr>
        <w:t>on River Flood Evacuation Plan</w:t>
      </w:r>
    </w:p>
    <w:p w:rsidR="00985921" w:rsidRDefault="00985921" w:rsidP="008B79EF">
      <w:pPr>
        <w:pStyle w:val="ListParagraph"/>
        <w:numPr>
          <w:ilvl w:val="0"/>
          <w:numId w:val="57"/>
        </w:numPr>
        <w:spacing w:after="120"/>
        <w:ind w:left="357" w:hanging="357"/>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Relevant C</w:t>
      </w:r>
      <w:r w:rsidR="00B91B94" w:rsidRPr="00066182">
        <w:rPr>
          <w:rFonts w:ascii="Arial" w:eastAsia="Times New Roman" w:hAnsi="Arial" w:cs="Arial"/>
          <w:sz w:val="24"/>
          <w:szCs w:val="24"/>
          <w:lang w:eastAsia="en-AU"/>
        </w:rPr>
        <w:t>ouncil Stan</w:t>
      </w:r>
      <w:r>
        <w:rPr>
          <w:rFonts w:ascii="Arial" w:eastAsia="Times New Roman" w:hAnsi="Arial" w:cs="Arial"/>
          <w:sz w:val="24"/>
          <w:szCs w:val="24"/>
          <w:lang w:eastAsia="en-AU"/>
        </w:rPr>
        <w:t>dard O</w:t>
      </w:r>
      <w:r w:rsidR="00B91B94" w:rsidRPr="00066182">
        <w:rPr>
          <w:rFonts w:ascii="Arial" w:eastAsia="Times New Roman" w:hAnsi="Arial" w:cs="Arial"/>
          <w:sz w:val="24"/>
          <w:szCs w:val="24"/>
          <w:lang w:eastAsia="en-AU"/>
        </w:rPr>
        <w:t>perating Procedures</w:t>
      </w:r>
    </w:p>
    <w:p w:rsidR="00985921" w:rsidRDefault="003E4B2C" w:rsidP="008B79EF">
      <w:pPr>
        <w:pStyle w:val="ListParagraph"/>
        <w:numPr>
          <w:ilvl w:val="0"/>
          <w:numId w:val="57"/>
        </w:numPr>
        <w:spacing w:after="120"/>
        <w:ind w:left="357" w:hanging="357"/>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C</w:t>
      </w:r>
      <w:r w:rsidR="00985921">
        <w:rPr>
          <w:rFonts w:ascii="Arial" w:eastAsia="Times New Roman" w:hAnsi="Arial" w:cs="Arial"/>
          <w:sz w:val="24"/>
          <w:szCs w:val="24"/>
          <w:lang w:eastAsia="en-AU"/>
        </w:rPr>
        <w:t>ontact network of emergency management stakeholders</w:t>
      </w:r>
      <w:r>
        <w:rPr>
          <w:rFonts w:ascii="Arial" w:eastAsia="Times New Roman" w:hAnsi="Arial" w:cs="Arial"/>
          <w:sz w:val="24"/>
          <w:szCs w:val="24"/>
          <w:lang w:eastAsia="en-AU"/>
        </w:rPr>
        <w:t>.</w:t>
      </w:r>
    </w:p>
    <w:p w:rsidR="00B91B94" w:rsidRPr="00B91B94" w:rsidRDefault="00985921" w:rsidP="008B79EF">
      <w:pPr>
        <w:jc w:val="both"/>
        <w:rPr>
          <w:rFonts w:ascii="Arial" w:eastAsia="Times New Roman" w:hAnsi="Arial" w:cs="Arial"/>
          <w:sz w:val="24"/>
          <w:szCs w:val="24"/>
          <w:lang w:eastAsia="en-AU"/>
        </w:rPr>
      </w:pPr>
      <w:r>
        <w:rPr>
          <w:rFonts w:ascii="Arial" w:eastAsia="Times New Roman" w:hAnsi="Arial" w:cs="Arial"/>
          <w:sz w:val="24"/>
          <w:szCs w:val="24"/>
          <w:lang w:eastAsia="en-AU"/>
        </w:rPr>
        <w:t>Reviews of plans are directly supported by the SES Regional Manager with consultation and endorsement provided through the</w:t>
      </w:r>
      <w:r w:rsidR="00B91B94" w:rsidRPr="00985921">
        <w:rPr>
          <w:rFonts w:ascii="Arial" w:eastAsia="Times New Roman" w:hAnsi="Arial" w:cs="Arial"/>
          <w:sz w:val="24"/>
          <w:szCs w:val="24"/>
          <w:lang w:eastAsia="en-AU"/>
        </w:rPr>
        <w:t xml:space="preserve"> Municipal Emergency Management Committee.</w:t>
      </w:r>
    </w:p>
    <w:p w:rsidR="00B91B94" w:rsidRPr="00B91B94" w:rsidRDefault="00D60028" w:rsidP="008B79EF">
      <w:pPr>
        <w:jc w:val="both"/>
        <w:rPr>
          <w:rFonts w:ascii="Arial" w:eastAsia="Times New Roman" w:hAnsi="Arial" w:cs="Arial"/>
          <w:sz w:val="24"/>
          <w:szCs w:val="24"/>
          <w:lang w:eastAsia="en-AU"/>
        </w:rPr>
      </w:pPr>
      <w:r>
        <w:rPr>
          <w:rFonts w:ascii="Arial" w:eastAsia="Times New Roman" w:hAnsi="Arial" w:cs="Arial"/>
          <w:sz w:val="24"/>
          <w:szCs w:val="24"/>
          <w:lang w:eastAsia="en-AU"/>
        </w:rPr>
        <w:t>The Huonville community awareness of flooding</w:t>
      </w:r>
      <w:r w:rsidR="00B91B94" w:rsidRPr="00B91B94">
        <w:rPr>
          <w:rFonts w:ascii="Arial" w:eastAsia="Times New Roman" w:hAnsi="Arial" w:cs="Arial"/>
          <w:sz w:val="24"/>
          <w:szCs w:val="24"/>
          <w:lang w:eastAsia="en-AU"/>
        </w:rPr>
        <w:t xml:space="preserve"> vari</w:t>
      </w:r>
      <w:r w:rsidR="00985921">
        <w:rPr>
          <w:rFonts w:ascii="Arial" w:eastAsia="Times New Roman" w:hAnsi="Arial" w:cs="Arial"/>
          <w:sz w:val="24"/>
          <w:szCs w:val="24"/>
          <w:lang w:eastAsia="en-AU"/>
        </w:rPr>
        <w:t xml:space="preserve">es considerably due to the infrequent occurrences of </w:t>
      </w:r>
      <w:r w:rsidR="00985921" w:rsidRPr="00B91B94">
        <w:rPr>
          <w:rFonts w:ascii="Arial" w:eastAsia="Times New Roman" w:hAnsi="Arial" w:cs="Arial"/>
          <w:sz w:val="24"/>
          <w:szCs w:val="24"/>
          <w:lang w:eastAsia="en-AU"/>
        </w:rPr>
        <w:t>major</w:t>
      </w:r>
      <w:r w:rsidR="00985921">
        <w:rPr>
          <w:rFonts w:ascii="Arial" w:eastAsia="Times New Roman" w:hAnsi="Arial" w:cs="Arial"/>
          <w:sz w:val="24"/>
          <w:szCs w:val="24"/>
          <w:lang w:eastAsia="en-AU"/>
        </w:rPr>
        <w:t xml:space="preserve"> flooding and </w:t>
      </w:r>
      <w:r w:rsidR="003E4B2C">
        <w:rPr>
          <w:rFonts w:ascii="Arial" w:eastAsia="Times New Roman" w:hAnsi="Arial" w:cs="Arial"/>
          <w:sz w:val="24"/>
          <w:szCs w:val="24"/>
          <w:lang w:eastAsia="en-AU"/>
        </w:rPr>
        <w:t>new members to the community</w:t>
      </w:r>
      <w:r w:rsidR="00985921">
        <w:rPr>
          <w:rFonts w:ascii="Arial" w:eastAsia="Times New Roman" w:hAnsi="Arial" w:cs="Arial"/>
          <w:sz w:val="24"/>
          <w:szCs w:val="24"/>
          <w:lang w:eastAsia="en-AU"/>
        </w:rPr>
        <w:t>,</w:t>
      </w:r>
      <w:r w:rsidR="00B91B94" w:rsidRPr="00B91B94">
        <w:rPr>
          <w:rFonts w:ascii="Arial" w:eastAsia="Times New Roman" w:hAnsi="Arial" w:cs="Arial"/>
          <w:sz w:val="24"/>
          <w:szCs w:val="24"/>
          <w:lang w:eastAsia="en-AU"/>
        </w:rPr>
        <w:t xml:space="preserve"> part</w:t>
      </w:r>
      <w:r>
        <w:rPr>
          <w:rFonts w:ascii="Arial" w:eastAsia="Times New Roman" w:hAnsi="Arial" w:cs="Arial"/>
          <w:sz w:val="24"/>
          <w:szCs w:val="24"/>
          <w:lang w:eastAsia="en-AU"/>
        </w:rPr>
        <w:t>i</w:t>
      </w:r>
      <w:r w:rsidR="0071587F">
        <w:rPr>
          <w:rFonts w:ascii="Arial" w:eastAsia="Times New Roman" w:hAnsi="Arial" w:cs="Arial"/>
          <w:sz w:val="24"/>
          <w:szCs w:val="24"/>
          <w:lang w:eastAsia="en-AU"/>
        </w:rPr>
        <w:t>cularly in the business sector.</w:t>
      </w:r>
      <w:r w:rsidR="00985921" w:rsidRPr="00D60028">
        <w:rPr>
          <w:rFonts w:ascii="Arial" w:eastAsia="Times New Roman" w:hAnsi="Arial" w:cs="Arial"/>
          <w:color w:val="FF0000"/>
          <w:sz w:val="24"/>
          <w:szCs w:val="24"/>
          <w:lang w:eastAsia="en-AU"/>
        </w:rPr>
        <w:t xml:space="preserve"> </w:t>
      </w:r>
      <w:r w:rsidR="00985921" w:rsidRPr="0071587F">
        <w:rPr>
          <w:rFonts w:ascii="Arial" w:eastAsia="Times New Roman" w:hAnsi="Arial" w:cs="Arial"/>
          <w:sz w:val="24"/>
          <w:szCs w:val="24"/>
          <w:lang w:eastAsia="en-AU"/>
        </w:rPr>
        <w:t>The Huonville community would benefit from an expanded s</w:t>
      </w:r>
      <w:r w:rsidR="00B91B94" w:rsidRPr="0071587F">
        <w:rPr>
          <w:rFonts w:ascii="Arial" w:eastAsia="Times New Roman" w:hAnsi="Arial" w:cs="Arial"/>
          <w:sz w:val="24"/>
          <w:szCs w:val="24"/>
          <w:lang w:eastAsia="en-AU"/>
        </w:rPr>
        <w:t>tate level c</w:t>
      </w:r>
      <w:r w:rsidR="00985921" w:rsidRPr="0071587F">
        <w:rPr>
          <w:rFonts w:ascii="Arial" w:eastAsia="Times New Roman" w:hAnsi="Arial" w:cs="Arial"/>
          <w:sz w:val="24"/>
          <w:szCs w:val="24"/>
          <w:lang w:eastAsia="en-AU"/>
        </w:rPr>
        <w:t>ommunity engagement/education strategy</w:t>
      </w:r>
      <w:r w:rsidRPr="0071587F">
        <w:rPr>
          <w:rFonts w:ascii="Arial" w:eastAsia="Times New Roman" w:hAnsi="Arial" w:cs="Arial"/>
          <w:sz w:val="24"/>
          <w:szCs w:val="24"/>
          <w:lang w:eastAsia="en-AU"/>
        </w:rPr>
        <w:t xml:space="preserve"> for flood</w:t>
      </w:r>
      <w:r w:rsidR="00B91B94" w:rsidRPr="0071587F">
        <w:rPr>
          <w:rFonts w:ascii="Arial" w:eastAsia="Times New Roman" w:hAnsi="Arial" w:cs="Arial"/>
          <w:sz w:val="24"/>
          <w:szCs w:val="24"/>
          <w:lang w:eastAsia="en-AU"/>
        </w:rPr>
        <w:t>.</w:t>
      </w:r>
    </w:p>
    <w:p w:rsidR="00D60028" w:rsidRDefault="00675DC4" w:rsidP="008B79EF">
      <w:pPr>
        <w:jc w:val="both"/>
        <w:rPr>
          <w:rFonts w:ascii="Arial" w:eastAsia="Times New Roman" w:hAnsi="Arial" w:cs="Arial"/>
          <w:sz w:val="24"/>
          <w:szCs w:val="24"/>
          <w:lang w:eastAsia="en-AU"/>
        </w:rPr>
      </w:pPr>
      <w:r>
        <w:rPr>
          <w:rFonts w:ascii="Arial" w:eastAsia="Times New Roman" w:hAnsi="Arial" w:cs="Arial"/>
          <w:sz w:val="24"/>
          <w:szCs w:val="24"/>
          <w:u w:val="single"/>
          <w:lang w:eastAsia="en-AU"/>
        </w:rPr>
        <w:t>Forecasting / Alerts /</w:t>
      </w:r>
      <w:r w:rsidR="00D60028">
        <w:rPr>
          <w:rFonts w:ascii="Arial" w:eastAsia="Times New Roman" w:hAnsi="Arial" w:cs="Arial"/>
          <w:sz w:val="24"/>
          <w:szCs w:val="24"/>
          <w:u w:val="single"/>
          <w:lang w:eastAsia="en-AU"/>
        </w:rPr>
        <w:t xml:space="preserve"> W</w:t>
      </w:r>
      <w:r w:rsidR="00B91B94" w:rsidRPr="00D60028">
        <w:rPr>
          <w:rFonts w:ascii="Arial" w:eastAsia="Times New Roman" w:hAnsi="Arial" w:cs="Arial"/>
          <w:sz w:val="24"/>
          <w:szCs w:val="24"/>
          <w:u w:val="single"/>
          <w:lang w:eastAsia="en-AU"/>
        </w:rPr>
        <w:t>arnings</w:t>
      </w:r>
    </w:p>
    <w:p w:rsidR="00190662" w:rsidRDefault="00B91B94" w:rsidP="008B79EF">
      <w:pPr>
        <w:jc w:val="both"/>
        <w:rPr>
          <w:rFonts w:ascii="Arial" w:eastAsia="Times New Roman" w:hAnsi="Arial" w:cs="Arial"/>
          <w:sz w:val="24"/>
          <w:szCs w:val="24"/>
          <w:lang w:eastAsia="en-AU"/>
        </w:rPr>
      </w:pPr>
      <w:r w:rsidRPr="00B91B94">
        <w:rPr>
          <w:rFonts w:ascii="Arial" w:eastAsia="Times New Roman" w:hAnsi="Arial" w:cs="Arial"/>
          <w:sz w:val="24"/>
          <w:szCs w:val="24"/>
          <w:lang w:eastAsia="en-AU"/>
        </w:rPr>
        <w:t>BoM flood warnings were issued in a timely manner and are generally initiated as soon as the models indicate trigger points will be reached. First warnings occurred 24 hours prior to pea</w:t>
      </w:r>
      <w:r w:rsidR="00190662">
        <w:rPr>
          <w:rFonts w:ascii="Arial" w:eastAsia="Times New Roman" w:hAnsi="Arial" w:cs="Arial"/>
          <w:sz w:val="24"/>
          <w:szCs w:val="24"/>
          <w:lang w:eastAsia="en-AU"/>
        </w:rPr>
        <w:t>k time.  A</w:t>
      </w:r>
      <w:r w:rsidRPr="00B91B94">
        <w:rPr>
          <w:rFonts w:ascii="Arial" w:eastAsia="Times New Roman" w:hAnsi="Arial" w:cs="Arial"/>
          <w:sz w:val="24"/>
          <w:szCs w:val="24"/>
          <w:lang w:eastAsia="en-AU"/>
        </w:rPr>
        <w:t xml:space="preserve"> potential</w:t>
      </w:r>
      <w:r w:rsidR="002B15C6">
        <w:rPr>
          <w:rFonts w:ascii="Arial" w:eastAsia="Times New Roman" w:hAnsi="Arial" w:cs="Arial"/>
          <w:sz w:val="24"/>
          <w:szCs w:val="24"/>
          <w:lang w:eastAsia="en-AU"/>
        </w:rPr>
        <w:t xml:space="preserve"> preparation</w:t>
      </w:r>
      <w:r w:rsidRPr="00B91B94">
        <w:rPr>
          <w:rFonts w:ascii="Arial" w:eastAsia="Times New Roman" w:hAnsi="Arial" w:cs="Arial"/>
          <w:sz w:val="24"/>
          <w:szCs w:val="24"/>
          <w:lang w:eastAsia="en-AU"/>
        </w:rPr>
        <w:t xml:space="preserve"> issue </w:t>
      </w:r>
      <w:r w:rsidR="00190662">
        <w:rPr>
          <w:rFonts w:ascii="Arial" w:eastAsia="Times New Roman" w:hAnsi="Arial" w:cs="Arial"/>
          <w:sz w:val="24"/>
          <w:szCs w:val="24"/>
          <w:lang w:eastAsia="en-AU"/>
        </w:rPr>
        <w:t>w</w:t>
      </w:r>
      <w:r w:rsidRPr="00B91B94">
        <w:rPr>
          <w:rFonts w:ascii="Arial" w:eastAsia="Times New Roman" w:hAnsi="Arial" w:cs="Arial"/>
          <w:sz w:val="24"/>
          <w:szCs w:val="24"/>
          <w:lang w:eastAsia="en-AU"/>
        </w:rPr>
        <w:t>a</w:t>
      </w:r>
      <w:r w:rsidR="00190662">
        <w:rPr>
          <w:rFonts w:ascii="Arial" w:eastAsia="Times New Roman" w:hAnsi="Arial" w:cs="Arial"/>
          <w:sz w:val="24"/>
          <w:szCs w:val="24"/>
          <w:lang w:eastAsia="en-AU"/>
        </w:rPr>
        <w:t xml:space="preserve">s the final peak height estimation not </w:t>
      </w:r>
      <w:r w:rsidR="002B15C6">
        <w:rPr>
          <w:rFonts w:ascii="Arial" w:eastAsia="Times New Roman" w:hAnsi="Arial" w:cs="Arial"/>
          <w:sz w:val="24"/>
          <w:szCs w:val="24"/>
          <w:lang w:eastAsia="en-AU"/>
        </w:rPr>
        <w:t xml:space="preserve">being </w:t>
      </w:r>
      <w:r w:rsidR="00190662">
        <w:rPr>
          <w:rFonts w:ascii="Arial" w:eastAsia="Times New Roman" w:hAnsi="Arial" w:cs="Arial"/>
          <w:sz w:val="24"/>
          <w:szCs w:val="24"/>
          <w:lang w:eastAsia="en-AU"/>
        </w:rPr>
        <w:t>provided</w:t>
      </w:r>
      <w:r w:rsidRPr="00B91B94">
        <w:rPr>
          <w:rFonts w:ascii="Arial" w:eastAsia="Times New Roman" w:hAnsi="Arial" w:cs="Arial"/>
          <w:sz w:val="24"/>
          <w:szCs w:val="24"/>
          <w:lang w:eastAsia="en-AU"/>
        </w:rPr>
        <w:t xml:space="preserve"> until 6 hours before the peak arrived. </w:t>
      </w:r>
    </w:p>
    <w:p w:rsidR="003E4B2C" w:rsidRDefault="00B91B94" w:rsidP="008B79EF">
      <w:pPr>
        <w:jc w:val="both"/>
        <w:rPr>
          <w:rFonts w:ascii="Arial" w:eastAsia="Times New Roman" w:hAnsi="Arial" w:cs="Arial"/>
          <w:sz w:val="24"/>
          <w:szCs w:val="24"/>
          <w:lang w:eastAsia="en-AU"/>
        </w:rPr>
      </w:pPr>
      <w:r w:rsidRPr="00B91B94">
        <w:rPr>
          <w:rFonts w:ascii="Arial" w:eastAsia="Times New Roman" w:hAnsi="Arial" w:cs="Arial"/>
          <w:sz w:val="24"/>
          <w:szCs w:val="24"/>
          <w:lang w:eastAsia="en-AU"/>
        </w:rPr>
        <w:t>Huon Valley council, as with local SES and Police, are highly intera</w:t>
      </w:r>
      <w:r w:rsidR="00190662">
        <w:rPr>
          <w:rFonts w:ascii="Arial" w:eastAsia="Times New Roman" w:hAnsi="Arial" w:cs="Arial"/>
          <w:sz w:val="24"/>
          <w:szCs w:val="24"/>
          <w:lang w:eastAsia="en-AU"/>
        </w:rPr>
        <w:t>ctive with community warnings. The C</w:t>
      </w:r>
      <w:r w:rsidRPr="00B91B94">
        <w:rPr>
          <w:rFonts w:ascii="Arial" w:eastAsia="Times New Roman" w:hAnsi="Arial" w:cs="Arial"/>
          <w:sz w:val="24"/>
          <w:szCs w:val="24"/>
          <w:lang w:eastAsia="en-AU"/>
        </w:rPr>
        <w:t xml:space="preserve">ouncil set-up </w:t>
      </w:r>
      <w:r w:rsidR="00190662">
        <w:rPr>
          <w:rFonts w:ascii="Arial" w:eastAsia="Times New Roman" w:hAnsi="Arial" w:cs="Arial"/>
          <w:sz w:val="24"/>
          <w:szCs w:val="24"/>
          <w:lang w:eastAsia="en-AU"/>
        </w:rPr>
        <w:t xml:space="preserve">a </w:t>
      </w:r>
      <w:r w:rsidRPr="00B91B94">
        <w:rPr>
          <w:rFonts w:ascii="Arial" w:eastAsia="Times New Roman" w:hAnsi="Arial" w:cs="Arial"/>
          <w:sz w:val="24"/>
          <w:szCs w:val="24"/>
          <w:lang w:eastAsia="en-AU"/>
        </w:rPr>
        <w:t>community information site at the Huonville Town Hall. Door knocking successfully occurred o</w:t>
      </w:r>
      <w:r w:rsidR="00190662">
        <w:rPr>
          <w:rFonts w:ascii="Arial" w:eastAsia="Times New Roman" w:hAnsi="Arial" w:cs="Arial"/>
          <w:sz w:val="24"/>
          <w:szCs w:val="24"/>
          <w:lang w:eastAsia="en-AU"/>
        </w:rPr>
        <w:t>ver several periods in a timely manner</w:t>
      </w:r>
      <w:r w:rsidRPr="00B91B94">
        <w:rPr>
          <w:rFonts w:ascii="Arial" w:eastAsia="Times New Roman" w:hAnsi="Arial" w:cs="Arial"/>
          <w:sz w:val="24"/>
          <w:szCs w:val="24"/>
          <w:lang w:eastAsia="en-AU"/>
        </w:rPr>
        <w:t>. Information fliers were developed to deal with a range of issues.</w:t>
      </w:r>
    </w:p>
    <w:p w:rsidR="00B91B94" w:rsidRPr="00B91B94" w:rsidRDefault="00B91B94" w:rsidP="008B79EF">
      <w:pPr>
        <w:jc w:val="both"/>
        <w:rPr>
          <w:rFonts w:ascii="Arial" w:eastAsia="Times New Roman" w:hAnsi="Arial" w:cs="Arial"/>
          <w:sz w:val="24"/>
          <w:szCs w:val="24"/>
          <w:lang w:eastAsia="en-AU"/>
        </w:rPr>
      </w:pPr>
      <w:r w:rsidRPr="00B91B94">
        <w:rPr>
          <w:rFonts w:ascii="Arial" w:eastAsia="Times New Roman" w:hAnsi="Arial" w:cs="Arial"/>
          <w:sz w:val="24"/>
          <w:szCs w:val="24"/>
          <w:lang w:eastAsia="en-AU"/>
        </w:rPr>
        <w:t>Standard information packs specific for flooding co</w:t>
      </w:r>
      <w:r w:rsidR="00190662">
        <w:rPr>
          <w:rFonts w:ascii="Arial" w:eastAsia="Times New Roman" w:hAnsi="Arial" w:cs="Arial"/>
          <w:sz w:val="24"/>
          <w:szCs w:val="24"/>
          <w:lang w:eastAsia="en-AU"/>
        </w:rPr>
        <w:t>uld be developed covering potential flood related issues such as</w:t>
      </w:r>
      <w:r w:rsidRPr="00B91B94">
        <w:rPr>
          <w:rFonts w:ascii="Arial" w:eastAsia="Times New Roman" w:hAnsi="Arial" w:cs="Arial"/>
          <w:sz w:val="24"/>
          <w:szCs w:val="24"/>
          <w:lang w:eastAsia="en-AU"/>
        </w:rPr>
        <w:t xml:space="preserve"> powe</w:t>
      </w:r>
      <w:r w:rsidR="00190662">
        <w:rPr>
          <w:rFonts w:ascii="Arial" w:eastAsia="Times New Roman" w:hAnsi="Arial" w:cs="Arial"/>
          <w:sz w:val="24"/>
          <w:szCs w:val="24"/>
          <w:lang w:eastAsia="en-AU"/>
        </w:rPr>
        <w:t>r, health, clean-up and general safety</w:t>
      </w:r>
      <w:r w:rsidRPr="00B91B94">
        <w:rPr>
          <w:rFonts w:ascii="Arial" w:eastAsia="Times New Roman" w:hAnsi="Arial" w:cs="Arial"/>
          <w:sz w:val="24"/>
          <w:szCs w:val="24"/>
          <w:lang w:eastAsia="en-AU"/>
        </w:rPr>
        <w:t>.</w:t>
      </w:r>
    </w:p>
    <w:p w:rsidR="00D1232A" w:rsidRDefault="00B91B94" w:rsidP="008B79EF">
      <w:pPr>
        <w:jc w:val="both"/>
        <w:rPr>
          <w:rFonts w:ascii="Arial" w:eastAsia="Times New Roman" w:hAnsi="Arial" w:cs="Arial"/>
          <w:sz w:val="24"/>
          <w:szCs w:val="24"/>
          <w:lang w:eastAsia="en-AU"/>
        </w:rPr>
      </w:pPr>
      <w:r w:rsidRPr="00D1232A">
        <w:rPr>
          <w:rFonts w:ascii="Arial" w:eastAsia="Times New Roman" w:hAnsi="Arial" w:cs="Arial"/>
          <w:sz w:val="24"/>
          <w:szCs w:val="24"/>
          <w:u w:val="single"/>
          <w:lang w:eastAsia="en-AU"/>
        </w:rPr>
        <w:t>Transition from response to recovery</w:t>
      </w:r>
      <w:r w:rsidRPr="00B91B94">
        <w:rPr>
          <w:rFonts w:ascii="Arial" w:eastAsia="Times New Roman" w:hAnsi="Arial" w:cs="Arial"/>
          <w:sz w:val="24"/>
          <w:szCs w:val="24"/>
          <w:lang w:eastAsia="en-AU"/>
        </w:rPr>
        <w:t xml:space="preserve"> </w:t>
      </w:r>
      <w:r w:rsidR="00D1232A">
        <w:rPr>
          <w:rFonts w:ascii="Arial" w:eastAsia="Times New Roman" w:hAnsi="Arial" w:cs="Arial"/>
          <w:sz w:val="24"/>
          <w:szCs w:val="24"/>
          <w:lang w:eastAsia="en-AU"/>
        </w:rPr>
        <w:t>–</w:t>
      </w:r>
      <w:r w:rsidRPr="00B91B94">
        <w:rPr>
          <w:rFonts w:ascii="Arial" w:eastAsia="Times New Roman" w:hAnsi="Arial" w:cs="Arial"/>
          <w:sz w:val="24"/>
          <w:szCs w:val="24"/>
          <w:lang w:eastAsia="en-AU"/>
        </w:rPr>
        <w:t xml:space="preserve"> </w:t>
      </w:r>
    </w:p>
    <w:p w:rsidR="00D1232A" w:rsidRDefault="00D1232A" w:rsidP="008B79EF">
      <w:pPr>
        <w:jc w:val="both"/>
        <w:rPr>
          <w:rFonts w:ascii="Arial" w:eastAsia="Times New Roman" w:hAnsi="Arial" w:cs="Arial"/>
          <w:sz w:val="24"/>
          <w:szCs w:val="24"/>
          <w:lang w:eastAsia="en-AU"/>
        </w:rPr>
      </w:pPr>
      <w:r>
        <w:rPr>
          <w:rFonts w:ascii="Arial" w:eastAsia="Times New Roman" w:hAnsi="Arial" w:cs="Arial"/>
          <w:sz w:val="24"/>
          <w:szCs w:val="24"/>
          <w:lang w:eastAsia="en-AU"/>
        </w:rPr>
        <w:t>R</w:t>
      </w:r>
      <w:r w:rsidR="00B91B94" w:rsidRPr="00B91B94">
        <w:rPr>
          <w:rFonts w:ascii="Arial" w:eastAsia="Times New Roman" w:hAnsi="Arial" w:cs="Arial"/>
          <w:sz w:val="24"/>
          <w:szCs w:val="24"/>
          <w:lang w:eastAsia="en-AU"/>
        </w:rPr>
        <w:t xml:space="preserve">ecovery issues were discussed from the </w:t>
      </w:r>
      <w:r>
        <w:rPr>
          <w:rFonts w:ascii="Arial" w:eastAsia="Times New Roman" w:hAnsi="Arial" w:cs="Arial"/>
          <w:sz w:val="24"/>
          <w:szCs w:val="24"/>
          <w:lang w:eastAsia="en-AU"/>
        </w:rPr>
        <w:t>outset with regular</w:t>
      </w:r>
      <w:r w:rsidR="00B91B94" w:rsidRPr="00B91B94">
        <w:rPr>
          <w:rFonts w:ascii="Arial" w:eastAsia="Times New Roman" w:hAnsi="Arial" w:cs="Arial"/>
          <w:sz w:val="24"/>
          <w:szCs w:val="24"/>
          <w:lang w:eastAsia="en-AU"/>
        </w:rPr>
        <w:t xml:space="preserve"> m</w:t>
      </w:r>
      <w:r>
        <w:rPr>
          <w:rFonts w:ascii="Arial" w:eastAsia="Times New Roman" w:hAnsi="Arial" w:cs="Arial"/>
          <w:sz w:val="24"/>
          <w:szCs w:val="24"/>
          <w:lang w:eastAsia="en-AU"/>
        </w:rPr>
        <w:t>eetings conducted to deliberate on</w:t>
      </w:r>
      <w:r w:rsidR="00B91B94" w:rsidRPr="00B91B94">
        <w:rPr>
          <w:rFonts w:ascii="Arial" w:eastAsia="Times New Roman" w:hAnsi="Arial" w:cs="Arial"/>
          <w:sz w:val="24"/>
          <w:szCs w:val="24"/>
          <w:lang w:eastAsia="en-AU"/>
        </w:rPr>
        <w:t xml:space="preserve"> </w:t>
      </w:r>
      <w:r w:rsidR="00671793">
        <w:rPr>
          <w:rFonts w:ascii="Arial" w:eastAsia="Times New Roman" w:hAnsi="Arial" w:cs="Arial"/>
          <w:sz w:val="24"/>
          <w:szCs w:val="24"/>
          <w:lang w:eastAsia="en-AU"/>
        </w:rPr>
        <w:t xml:space="preserve">the need for </w:t>
      </w:r>
      <w:r w:rsidR="00B91B94" w:rsidRPr="00B91B94">
        <w:rPr>
          <w:rFonts w:ascii="Arial" w:eastAsia="Times New Roman" w:hAnsi="Arial" w:cs="Arial"/>
          <w:sz w:val="24"/>
          <w:szCs w:val="24"/>
          <w:lang w:eastAsia="en-AU"/>
        </w:rPr>
        <w:t xml:space="preserve">recovery </w:t>
      </w:r>
      <w:r w:rsidRPr="00B91B94">
        <w:rPr>
          <w:rFonts w:ascii="Arial" w:eastAsia="Times New Roman" w:hAnsi="Arial" w:cs="Arial"/>
          <w:sz w:val="24"/>
          <w:szCs w:val="24"/>
          <w:lang w:eastAsia="en-AU"/>
        </w:rPr>
        <w:t>centres</w:t>
      </w:r>
      <w:r>
        <w:rPr>
          <w:rFonts w:ascii="Arial" w:eastAsia="Times New Roman" w:hAnsi="Arial" w:cs="Arial"/>
          <w:sz w:val="24"/>
          <w:szCs w:val="24"/>
          <w:lang w:eastAsia="en-AU"/>
        </w:rPr>
        <w:t>, communication to</w:t>
      </w:r>
      <w:r w:rsidR="00B91B94" w:rsidRPr="00B91B94">
        <w:rPr>
          <w:rFonts w:ascii="Arial" w:eastAsia="Times New Roman" w:hAnsi="Arial" w:cs="Arial"/>
          <w:sz w:val="24"/>
          <w:szCs w:val="24"/>
          <w:lang w:eastAsia="en-AU"/>
        </w:rPr>
        <w:t xml:space="preserve"> DHHS personnel of potential evacuations, activating social workers during the event, etc. </w:t>
      </w:r>
    </w:p>
    <w:p w:rsidR="00B91B94" w:rsidRPr="00B91B94" w:rsidRDefault="00B91B94" w:rsidP="008B79EF">
      <w:pPr>
        <w:jc w:val="both"/>
        <w:rPr>
          <w:rFonts w:ascii="Arial" w:eastAsia="Times New Roman" w:hAnsi="Arial" w:cs="Arial"/>
          <w:sz w:val="24"/>
          <w:szCs w:val="24"/>
          <w:lang w:eastAsia="en-AU"/>
        </w:rPr>
      </w:pPr>
      <w:r w:rsidRPr="00B91B94">
        <w:rPr>
          <w:rFonts w:ascii="Arial" w:eastAsia="Times New Roman" w:hAnsi="Arial" w:cs="Arial"/>
          <w:sz w:val="24"/>
          <w:szCs w:val="24"/>
          <w:lang w:eastAsia="en-AU"/>
        </w:rPr>
        <w:t>Council also initiated flood clean-up support immediately a</w:t>
      </w:r>
      <w:r w:rsidR="00671793">
        <w:rPr>
          <w:rFonts w:ascii="Arial" w:eastAsia="Times New Roman" w:hAnsi="Arial" w:cs="Arial"/>
          <w:sz w:val="24"/>
          <w:szCs w:val="24"/>
          <w:lang w:eastAsia="en-AU"/>
        </w:rPr>
        <w:t>f</w:t>
      </w:r>
      <w:r w:rsidR="000D5CDE">
        <w:rPr>
          <w:rFonts w:ascii="Arial" w:eastAsia="Times New Roman" w:hAnsi="Arial" w:cs="Arial"/>
          <w:sz w:val="24"/>
          <w:szCs w:val="24"/>
          <w:lang w:eastAsia="en-AU"/>
        </w:rPr>
        <w:t xml:space="preserve">ter the event on the same day. </w:t>
      </w:r>
      <w:r w:rsidRPr="00B91B94">
        <w:rPr>
          <w:rFonts w:ascii="Arial" w:eastAsia="Times New Roman" w:hAnsi="Arial" w:cs="Arial"/>
          <w:sz w:val="24"/>
          <w:szCs w:val="24"/>
          <w:lang w:eastAsia="en-AU"/>
        </w:rPr>
        <w:t>TasNetworks began re-energising isolated areas and buildings as</w:t>
      </w:r>
      <w:r w:rsidR="002B15C6">
        <w:rPr>
          <w:rFonts w:ascii="Arial" w:eastAsia="Times New Roman" w:hAnsi="Arial" w:cs="Arial"/>
          <w:sz w:val="24"/>
          <w:szCs w:val="24"/>
          <w:lang w:eastAsia="en-AU"/>
        </w:rPr>
        <w:t xml:space="preserve"> soon as flood waters receded.  I</w:t>
      </w:r>
      <w:r w:rsidRPr="00B91B94">
        <w:rPr>
          <w:rFonts w:ascii="Arial" w:eastAsia="Times New Roman" w:hAnsi="Arial" w:cs="Arial"/>
          <w:sz w:val="24"/>
          <w:szCs w:val="24"/>
          <w:lang w:eastAsia="en-AU"/>
        </w:rPr>
        <w:t>nformation pamphlets on flood clean-up were provided by Red Cross and sanitation kits were distributed to affected properties by council Environmental Hea</w:t>
      </w:r>
      <w:r w:rsidR="00D1232A">
        <w:rPr>
          <w:rFonts w:ascii="Arial" w:eastAsia="Times New Roman" w:hAnsi="Arial" w:cs="Arial"/>
          <w:sz w:val="24"/>
          <w:szCs w:val="24"/>
          <w:lang w:eastAsia="en-AU"/>
        </w:rPr>
        <w:t xml:space="preserve">lth Officers during the event. </w:t>
      </w:r>
    </w:p>
    <w:p w:rsidR="00D1232A" w:rsidRPr="00B41838" w:rsidRDefault="00D1232A" w:rsidP="008B79EF">
      <w:pPr>
        <w:jc w:val="both"/>
        <w:rPr>
          <w:rFonts w:ascii="Arial" w:eastAsia="Times New Roman" w:hAnsi="Arial" w:cs="Arial"/>
          <w:sz w:val="24"/>
          <w:szCs w:val="24"/>
          <w:u w:val="single"/>
          <w:lang w:eastAsia="en-AU"/>
        </w:rPr>
      </w:pPr>
      <w:r>
        <w:rPr>
          <w:rFonts w:ascii="Arial" w:eastAsia="Times New Roman" w:hAnsi="Arial" w:cs="Arial"/>
          <w:sz w:val="24"/>
          <w:szCs w:val="24"/>
          <w:u w:val="single"/>
          <w:lang w:eastAsia="en-AU"/>
        </w:rPr>
        <w:t>Detrimental Environmental E</w:t>
      </w:r>
      <w:r w:rsidR="00B91B94" w:rsidRPr="00D1232A">
        <w:rPr>
          <w:rFonts w:ascii="Arial" w:eastAsia="Times New Roman" w:hAnsi="Arial" w:cs="Arial"/>
          <w:sz w:val="24"/>
          <w:szCs w:val="24"/>
          <w:u w:val="single"/>
          <w:lang w:eastAsia="en-AU"/>
        </w:rPr>
        <w:t>ffects</w:t>
      </w:r>
      <w:r w:rsidR="00B91B94" w:rsidRPr="00B91B94">
        <w:rPr>
          <w:rFonts w:ascii="Arial" w:eastAsia="Times New Roman" w:hAnsi="Arial" w:cs="Arial"/>
          <w:sz w:val="24"/>
          <w:szCs w:val="24"/>
          <w:lang w:eastAsia="en-AU"/>
        </w:rPr>
        <w:t xml:space="preserve">  </w:t>
      </w:r>
    </w:p>
    <w:p w:rsidR="00B91B94" w:rsidRPr="00B91B94" w:rsidRDefault="00671793" w:rsidP="008B79EF">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Pr>
          <w:rFonts w:ascii="Arial" w:eastAsia="Times New Roman" w:hAnsi="Arial" w:cs="Arial"/>
          <w:sz w:val="24"/>
          <w:szCs w:val="24"/>
          <w:lang w:eastAsia="en-AU"/>
        </w:rPr>
        <w:t>Future</w:t>
      </w:r>
      <w:r w:rsidR="00D1232A">
        <w:rPr>
          <w:rFonts w:ascii="Arial" w:eastAsia="Times New Roman" w:hAnsi="Arial" w:cs="Arial"/>
          <w:sz w:val="24"/>
          <w:szCs w:val="24"/>
          <w:lang w:eastAsia="en-AU"/>
        </w:rPr>
        <w:t xml:space="preserve"> discussions may </w:t>
      </w:r>
      <w:r w:rsidR="002B15C6">
        <w:rPr>
          <w:rFonts w:ascii="Arial" w:eastAsia="Times New Roman" w:hAnsi="Arial" w:cs="Arial"/>
          <w:sz w:val="24"/>
          <w:szCs w:val="24"/>
          <w:lang w:eastAsia="en-AU"/>
        </w:rPr>
        <w:t xml:space="preserve">need to </w:t>
      </w:r>
      <w:r w:rsidR="00D1232A">
        <w:rPr>
          <w:rFonts w:ascii="Arial" w:eastAsia="Times New Roman" w:hAnsi="Arial" w:cs="Arial"/>
          <w:sz w:val="24"/>
          <w:szCs w:val="24"/>
          <w:lang w:eastAsia="en-AU"/>
        </w:rPr>
        <w:t xml:space="preserve">occur </w:t>
      </w:r>
      <w:r>
        <w:rPr>
          <w:rFonts w:ascii="Arial" w:eastAsia="Times New Roman" w:hAnsi="Arial" w:cs="Arial"/>
          <w:sz w:val="24"/>
          <w:szCs w:val="24"/>
          <w:lang w:eastAsia="en-AU"/>
        </w:rPr>
        <w:t xml:space="preserve">with State and Local Government </w:t>
      </w:r>
      <w:r w:rsidR="00D1232A">
        <w:rPr>
          <w:rFonts w:ascii="Arial" w:eastAsia="Times New Roman" w:hAnsi="Arial" w:cs="Arial"/>
          <w:sz w:val="24"/>
          <w:szCs w:val="24"/>
          <w:lang w:eastAsia="en-AU"/>
        </w:rPr>
        <w:t>relating to the responsibilities for</w:t>
      </w:r>
      <w:r w:rsidR="00304209">
        <w:rPr>
          <w:rFonts w:ascii="Arial" w:eastAsia="Times New Roman" w:hAnsi="Arial" w:cs="Arial"/>
          <w:sz w:val="24"/>
          <w:szCs w:val="24"/>
          <w:lang w:eastAsia="en-AU"/>
        </w:rPr>
        <w:t xml:space="preserve"> in-stream flood debris removal under the </w:t>
      </w:r>
      <w:r w:rsidR="00304209" w:rsidRPr="00926A64">
        <w:rPr>
          <w:rFonts w:ascii="Arial" w:eastAsia="Times New Roman" w:hAnsi="Arial" w:cs="Arial"/>
          <w:sz w:val="24"/>
          <w:szCs w:val="24"/>
          <w:lang w:eastAsia="en-AU"/>
        </w:rPr>
        <w:t>Water Management Act 1999</w:t>
      </w:r>
      <w:r w:rsidR="00304209">
        <w:rPr>
          <w:rFonts w:ascii="Arial" w:eastAsia="Times New Roman" w:hAnsi="Arial" w:cs="Arial"/>
          <w:sz w:val="24"/>
          <w:szCs w:val="24"/>
          <w:lang w:eastAsia="en-AU"/>
        </w:rPr>
        <w:t>.</w:t>
      </w:r>
      <w:r w:rsidR="00B91B94" w:rsidRPr="00B91B94">
        <w:rPr>
          <w:rFonts w:ascii="Arial" w:eastAsia="Times New Roman" w:hAnsi="Arial" w:cs="Arial"/>
          <w:sz w:val="24"/>
          <w:szCs w:val="24"/>
          <w:lang w:eastAsia="en-AU"/>
        </w:rPr>
        <w:t xml:space="preserve"> </w:t>
      </w:r>
    </w:p>
    <w:p w:rsidR="00304209" w:rsidRPr="00926A64" w:rsidRDefault="00926A64" w:rsidP="008B79EF">
      <w:pPr>
        <w:shd w:val="clear" w:color="auto" w:fill="FFFFFF"/>
        <w:spacing w:before="100" w:beforeAutospacing="1" w:after="100" w:afterAutospacing="1" w:line="234" w:lineRule="atLeast"/>
        <w:jc w:val="both"/>
        <w:rPr>
          <w:rFonts w:ascii="Arial" w:eastAsia="Times New Roman" w:hAnsi="Arial" w:cs="Arial"/>
          <w:sz w:val="24"/>
          <w:szCs w:val="24"/>
          <w:u w:val="single"/>
          <w:lang w:eastAsia="en-AU"/>
        </w:rPr>
      </w:pPr>
      <w:r>
        <w:rPr>
          <w:rFonts w:ascii="Arial" w:eastAsia="Times New Roman" w:hAnsi="Arial" w:cs="Arial"/>
          <w:sz w:val="24"/>
          <w:szCs w:val="24"/>
          <w:u w:val="single"/>
          <w:lang w:eastAsia="en-AU"/>
        </w:rPr>
        <w:t>General</w:t>
      </w:r>
    </w:p>
    <w:p w:rsidR="00304209" w:rsidRDefault="00304209" w:rsidP="008B79EF">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Pr>
          <w:rFonts w:ascii="Arial" w:eastAsia="Times New Roman" w:hAnsi="Arial" w:cs="Arial"/>
          <w:sz w:val="24"/>
          <w:szCs w:val="24"/>
          <w:lang w:eastAsia="en-AU"/>
        </w:rPr>
        <w:t>Consideration could be given to the following:</w:t>
      </w:r>
    </w:p>
    <w:p w:rsidR="00B91B94" w:rsidRPr="00926A64" w:rsidRDefault="00304209" w:rsidP="008B79EF">
      <w:pPr>
        <w:pStyle w:val="ListParagraph"/>
        <w:numPr>
          <w:ilvl w:val="0"/>
          <w:numId w:val="62"/>
        </w:numPr>
        <w:shd w:val="clear" w:color="auto" w:fill="FFFFFF"/>
        <w:spacing w:before="100" w:beforeAutospacing="1" w:after="120" w:line="234" w:lineRule="atLeast"/>
        <w:ind w:left="357" w:hanging="357"/>
        <w:contextualSpacing w:val="0"/>
        <w:jc w:val="both"/>
        <w:rPr>
          <w:rFonts w:ascii="Arial" w:eastAsia="Times New Roman" w:hAnsi="Arial" w:cs="Arial"/>
          <w:sz w:val="24"/>
          <w:szCs w:val="24"/>
          <w:lang w:eastAsia="en-AU"/>
        </w:rPr>
      </w:pPr>
      <w:r w:rsidRPr="00926A64">
        <w:rPr>
          <w:rFonts w:ascii="Arial" w:eastAsia="Times New Roman" w:hAnsi="Arial" w:cs="Arial"/>
          <w:sz w:val="24"/>
          <w:szCs w:val="24"/>
          <w:lang w:eastAsia="en-AU"/>
        </w:rPr>
        <w:t>R</w:t>
      </w:r>
      <w:r w:rsidR="00B91B94" w:rsidRPr="00926A64">
        <w:rPr>
          <w:rFonts w:ascii="Arial" w:eastAsia="Times New Roman" w:hAnsi="Arial" w:cs="Arial"/>
          <w:sz w:val="24"/>
          <w:szCs w:val="24"/>
          <w:lang w:eastAsia="en-AU"/>
        </w:rPr>
        <w:t>eview of the primary flood cl</w:t>
      </w:r>
      <w:r w:rsidRPr="00926A64">
        <w:rPr>
          <w:rFonts w:ascii="Arial" w:eastAsia="Times New Roman" w:hAnsi="Arial" w:cs="Arial"/>
          <w:sz w:val="24"/>
          <w:szCs w:val="24"/>
          <w:lang w:eastAsia="en-AU"/>
        </w:rPr>
        <w:t>assification levels</w:t>
      </w:r>
      <w:r w:rsidR="00B91B94" w:rsidRPr="00926A64">
        <w:rPr>
          <w:rFonts w:ascii="Arial" w:eastAsia="Times New Roman" w:hAnsi="Arial" w:cs="Arial"/>
          <w:sz w:val="24"/>
          <w:szCs w:val="24"/>
          <w:lang w:eastAsia="en-AU"/>
        </w:rPr>
        <w:t xml:space="preserve"> </w:t>
      </w:r>
      <w:r w:rsidR="005979E9" w:rsidRPr="00926A64">
        <w:rPr>
          <w:rFonts w:ascii="Arial" w:eastAsia="Times New Roman" w:hAnsi="Arial" w:cs="Arial"/>
          <w:sz w:val="24"/>
          <w:szCs w:val="24"/>
          <w:lang w:eastAsia="en-AU"/>
        </w:rPr>
        <w:t>state-wide</w:t>
      </w:r>
      <w:r w:rsidR="00B91B94" w:rsidRPr="00926A64">
        <w:rPr>
          <w:rFonts w:ascii="Arial" w:eastAsia="Times New Roman" w:hAnsi="Arial" w:cs="Arial"/>
          <w:sz w:val="24"/>
          <w:szCs w:val="24"/>
          <w:lang w:eastAsia="en-AU"/>
        </w:rPr>
        <w:t xml:space="preserve"> (processes ar</w:t>
      </w:r>
      <w:r w:rsidRPr="00926A64">
        <w:rPr>
          <w:rFonts w:ascii="Arial" w:eastAsia="Times New Roman" w:hAnsi="Arial" w:cs="Arial"/>
          <w:sz w:val="24"/>
          <w:szCs w:val="24"/>
          <w:lang w:eastAsia="en-AU"/>
        </w:rPr>
        <w:t>e currently being put in place).</w:t>
      </w:r>
    </w:p>
    <w:p w:rsidR="00B91B94" w:rsidRDefault="00304209" w:rsidP="008B79EF">
      <w:pPr>
        <w:pStyle w:val="ListParagraph"/>
        <w:numPr>
          <w:ilvl w:val="0"/>
          <w:numId w:val="62"/>
        </w:numPr>
        <w:shd w:val="clear" w:color="auto" w:fill="FFFFFF"/>
        <w:spacing w:before="100" w:beforeAutospacing="1" w:after="120" w:line="234" w:lineRule="atLeast"/>
        <w:ind w:left="357" w:hanging="357"/>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R</w:t>
      </w:r>
      <w:r w:rsidR="00B91B94" w:rsidRPr="00304209">
        <w:rPr>
          <w:rFonts w:ascii="Arial" w:eastAsia="Times New Roman" w:hAnsi="Arial" w:cs="Arial"/>
          <w:sz w:val="24"/>
          <w:szCs w:val="24"/>
          <w:lang w:eastAsia="en-AU"/>
        </w:rPr>
        <w:t xml:space="preserve">eview of </w:t>
      </w:r>
      <w:r w:rsidRPr="00304209">
        <w:rPr>
          <w:rFonts w:ascii="Arial" w:eastAsia="Times New Roman" w:hAnsi="Arial" w:cs="Arial"/>
          <w:sz w:val="24"/>
          <w:szCs w:val="24"/>
          <w:lang w:eastAsia="en-AU"/>
        </w:rPr>
        <w:t>state-wide</w:t>
      </w:r>
      <w:r w:rsidR="00B91B94" w:rsidRPr="00304209">
        <w:rPr>
          <w:rFonts w:ascii="Arial" w:eastAsia="Times New Roman" w:hAnsi="Arial" w:cs="Arial"/>
          <w:sz w:val="24"/>
          <w:szCs w:val="24"/>
          <w:lang w:eastAsia="en-AU"/>
        </w:rPr>
        <w:t xml:space="preserve"> flood inundat</w:t>
      </w:r>
      <w:r>
        <w:rPr>
          <w:rFonts w:ascii="Arial" w:eastAsia="Times New Roman" w:hAnsi="Arial" w:cs="Arial"/>
          <w:sz w:val="24"/>
          <w:szCs w:val="24"/>
          <w:lang w:eastAsia="en-AU"/>
        </w:rPr>
        <w:t xml:space="preserve">ion </w:t>
      </w:r>
      <w:r w:rsidR="00B91B94" w:rsidRPr="00304209">
        <w:rPr>
          <w:rFonts w:ascii="Arial" w:eastAsia="Times New Roman" w:hAnsi="Arial" w:cs="Arial"/>
          <w:sz w:val="24"/>
          <w:szCs w:val="24"/>
          <w:lang w:eastAsia="en-AU"/>
        </w:rPr>
        <w:t>for contempora</w:t>
      </w:r>
      <w:r w:rsidR="009034E8">
        <w:rPr>
          <w:rFonts w:ascii="Arial" w:eastAsia="Times New Roman" w:hAnsi="Arial" w:cs="Arial"/>
          <w:sz w:val="24"/>
          <w:szCs w:val="24"/>
          <w:lang w:eastAsia="en-AU"/>
        </w:rPr>
        <w:t>ry relevance due to</w:t>
      </w:r>
      <w:r w:rsidR="00B91B94" w:rsidRPr="00304209">
        <w:rPr>
          <w:rFonts w:ascii="Arial" w:eastAsia="Times New Roman" w:hAnsi="Arial" w:cs="Arial"/>
          <w:sz w:val="24"/>
          <w:szCs w:val="24"/>
          <w:lang w:eastAsia="en-AU"/>
        </w:rPr>
        <w:t xml:space="preserve"> infrastructure/housing change</w:t>
      </w:r>
      <w:r w:rsidR="009034E8">
        <w:rPr>
          <w:rFonts w:ascii="Arial" w:eastAsia="Times New Roman" w:hAnsi="Arial" w:cs="Arial"/>
          <w:sz w:val="24"/>
          <w:szCs w:val="24"/>
          <w:lang w:eastAsia="en-AU"/>
        </w:rPr>
        <w:t>s in impact areas</w:t>
      </w:r>
      <w:r w:rsidR="00B91B94" w:rsidRPr="00304209">
        <w:rPr>
          <w:rFonts w:ascii="Arial" w:eastAsia="Times New Roman" w:hAnsi="Arial" w:cs="Arial"/>
          <w:sz w:val="24"/>
          <w:szCs w:val="24"/>
          <w:lang w:eastAsia="en-AU"/>
        </w:rPr>
        <w:t>.</w:t>
      </w:r>
    </w:p>
    <w:p w:rsidR="00B91B94" w:rsidRPr="00BA6AFC" w:rsidRDefault="00BA6AFC" w:rsidP="008B79EF">
      <w:pPr>
        <w:pStyle w:val="ListParagraph"/>
        <w:numPr>
          <w:ilvl w:val="0"/>
          <w:numId w:val="62"/>
        </w:numPr>
        <w:shd w:val="clear" w:color="auto" w:fill="FFFFFF"/>
        <w:spacing w:before="100" w:beforeAutospacing="1" w:after="120" w:line="234" w:lineRule="atLeast"/>
        <w:ind w:left="357" w:hanging="357"/>
        <w:contextualSpacing w:val="0"/>
        <w:jc w:val="both"/>
        <w:rPr>
          <w:rFonts w:ascii="Arial" w:eastAsia="Times New Roman" w:hAnsi="Arial" w:cs="Arial"/>
          <w:sz w:val="24"/>
          <w:szCs w:val="24"/>
          <w:lang w:eastAsia="en-AU"/>
        </w:rPr>
      </w:pPr>
      <w:r>
        <w:rPr>
          <w:rFonts w:ascii="Arial" w:eastAsia="Times New Roman" w:hAnsi="Arial" w:cs="Arial"/>
          <w:sz w:val="24"/>
          <w:szCs w:val="24"/>
          <w:lang w:eastAsia="en-AU"/>
        </w:rPr>
        <w:t>R</w:t>
      </w:r>
      <w:r w:rsidR="00B91B94" w:rsidRPr="00BA6AFC">
        <w:rPr>
          <w:rFonts w:ascii="Arial" w:eastAsia="Times New Roman" w:hAnsi="Arial" w:cs="Arial"/>
          <w:sz w:val="24"/>
          <w:szCs w:val="24"/>
          <w:lang w:eastAsia="en-AU"/>
        </w:rPr>
        <w:t>eview of power systems in</w:t>
      </w:r>
      <w:r>
        <w:rPr>
          <w:rFonts w:ascii="Arial" w:eastAsia="Times New Roman" w:hAnsi="Arial" w:cs="Arial"/>
          <w:sz w:val="24"/>
          <w:szCs w:val="24"/>
          <w:lang w:eastAsia="en-AU"/>
        </w:rPr>
        <w:t xml:space="preserve"> flood zones to increase flood resilience. F</w:t>
      </w:r>
      <w:r w:rsidR="00B91B94" w:rsidRPr="00BA6AFC">
        <w:rPr>
          <w:rFonts w:ascii="Arial" w:eastAsia="Times New Roman" w:hAnsi="Arial" w:cs="Arial"/>
          <w:sz w:val="24"/>
          <w:szCs w:val="24"/>
          <w:lang w:eastAsia="en-AU"/>
        </w:rPr>
        <w:t>or safety reasons</w:t>
      </w:r>
      <w:r w:rsidR="00671793">
        <w:rPr>
          <w:rFonts w:ascii="Arial" w:eastAsia="Times New Roman" w:hAnsi="Arial" w:cs="Arial"/>
          <w:sz w:val="24"/>
          <w:szCs w:val="24"/>
          <w:lang w:eastAsia="en-AU"/>
        </w:rPr>
        <w:t>,</w:t>
      </w:r>
      <w:r w:rsidR="00B91B94" w:rsidRPr="00BA6AFC">
        <w:rPr>
          <w:rFonts w:ascii="Arial" w:eastAsia="Times New Roman" w:hAnsi="Arial" w:cs="Arial"/>
          <w:sz w:val="24"/>
          <w:szCs w:val="24"/>
          <w:lang w:eastAsia="en-AU"/>
        </w:rPr>
        <w:t xml:space="preserve"> </w:t>
      </w:r>
      <w:r>
        <w:rPr>
          <w:rFonts w:ascii="Arial" w:eastAsia="Times New Roman" w:hAnsi="Arial" w:cs="Arial"/>
          <w:sz w:val="24"/>
          <w:szCs w:val="24"/>
          <w:lang w:eastAsia="en-AU"/>
        </w:rPr>
        <w:t>when the power was switched off it affected distribution feeds</w:t>
      </w:r>
      <w:r w:rsidR="00B91B94" w:rsidRPr="00BA6AFC">
        <w:rPr>
          <w:rFonts w:ascii="Arial" w:eastAsia="Times New Roman" w:hAnsi="Arial" w:cs="Arial"/>
          <w:sz w:val="24"/>
          <w:szCs w:val="24"/>
          <w:lang w:eastAsia="en-AU"/>
        </w:rPr>
        <w:t xml:space="preserve"> impacting on </w:t>
      </w:r>
      <w:r>
        <w:rPr>
          <w:rFonts w:ascii="Arial" w:eastAsia="Times New Roman" w:hAnsi="Arial" w:cs="Arial"/>
          <w:sz w:val="24"/>
          <w:szCs w:val="24"/>
          <w:lang w:eastAsia="en-AU"/>
        </w:rPr>
        <w:t>areas that were not inundated.  P</w:t>
      </w:r>
      <w:r w:rsidR="00B91B94" w:rsidRPr="00BA6AFC">
        <w:rPr>
          <w:rFonts w:ascii="Arial" w:eastAsia="Times New Roman" w:hAnsi="Arial" w:cs="Arial"/>
          <w:sz w:val="24"/>
          <w:szCs w:val="24"/>
          <w:lang w:eastAsia="en-AU"/>
        </w:rPr>
        <w:t xml:space="preserve">ower kiosks along </w:t>
      </w:r>
      <w:r>
        <w:rPr>
          <w:rFonts w:ascii="Arial" w:eastAsia="Times New Roman" w:hAnsi="Arial" w:cs="Arial"/>
          <w:sz w:val="24"/>
          <w:szCs w:val="24"/>
          <w:lang w:eastAsia="en-AU"/>
        </w:rPr>
        <w:t>roads were inundated due to their relatively low physical location and low flood resilience</w:t>
      </w:r>
      <w:r w:rsidR="00B91B94" w:rsidRPr="00BA6AFC">
        <w:rPr>
          <w:rFonts w:ascii="Arial" w:eastAsia="Times New Roman" w:hAnsi="Arial" w:cs="Arial"/>
          <w:sz w:val="24"/>
          <w:szCs w:val="24"/>
          <w:lang w:eastAsia="en-AU"/>
        </w:rPr>
        <w:t>.</w:t>
      </w:r>
    </w:p>
    <w:p w:rsidR="000D5CDE" w:rsidRDefault="000D5CDE">
      <w:pPr>
        <w:rPr>
          <w:rFonts w:ascii="Arial" w:eastAsia="Times New Roman" w:hAnsi="Arial" w:cs="Arial"/>
          <w:b/>
          <w:sz w:val="24"/>
          <w:szCs w:val="24"/>
          <w:lang w:eastAsia="en-AU"/>
        </w:rPr>
      </w:pPr>
      <w:r>
        <w:rPr>
          <w:rFonts w:ascii="Arial" w:eastAsia="Times New Roman" w:hAnsi="Arial" w:cs="Arial"/>
          <w:b/>
          <w:sz w:val="24"/>
          <w:szCs w:val="24"/>
          <w:lang w:eastAsia="en-AU"/>
        </w:rPr>
        <w:br w:type="page"/>
      </w:r>
    </w:p>
    <w:p w:rsidR="002200F7" w:rsidRPr="00926A64" w:rsidRDefault="00B97225" w:rsidP="008B79EF">
      <w:pPr>
        <w:shd w:val="clear" w:color="auto" w:fill="FFFFFF"/>
        <w:spacing w:before="100" w:beforeAutospacing="1" w:after="100" w:afterAutospacing="1" w:line="234" w:lineRule="atLeast"/>
        <w:jc w:val="both"/>
        <w:rPr>
          <w:rFonts w:ascii="Arial" w:eastAsia="Times New Roman" w:hAnsi="Arial" w:cs="Arial"/>
          <w:b/>
          <w:sz w:val="24"/>
          <w:szCs w:val="24"/>
          <w:lang w:eastAsia="en-AU"/>
        </w:rPr>
      </w:pPr>
      <w:r w:rsidRPr="00926A64">
        <w:rPr>
          <w:rFonts w:ascii="Arial" w:eastAsia="Times New Roman" w:hAnsi="Arial" w:cs="Arial"/>
          <w:b/>
          <w:sz w:val="24"/>
          <w:szCs w:val="24"/>
          <w:lang w:eastAsia="en-AU"/>
        </w:rPr>
        <w:t>Tasmania Fire Service Comment</w:t>
      </w:r>
    </w:p>
    <w:p w:rsidR="002200F7" w:rsidRPr="000D5CDE" w:rsidRDefault="002200F7" w:rsidP="008B79EF">
      <w:pPr>
        <w:shd w:val="clear" w:color="auto" w:fill="FFFFFF"/>
        <w:spacing w:before="100" w:beforeAutospacing="1" w:after="100" w:afterAutospacing="1" w:line="234" w:lineRule="atLeast"/>
        <w:jc w:val="both"/>
        <w:rPr>
          <w:rFonts w:ascii="Arial" w:eastAsia="Times New Roman" w:hAnsi="Arial" w:cs="Arial"/>
          <w:sz w:val="24"/>
          <w:szCs w:val="24"/>
          <w:u w:val="single"/>
          <w:lang w:eastAsia="en-AU"/>
        </w:rPr>
      </w:pPr>
      <w:r w:rsidRPr="000D5CDE">
        <w:rPr>
          <w:rFonts w:ascii="Arial" w:eastAsia="Times New Roman" w:hAnsi="Arial" w:cs="Arial"/>
          <w:sz w:val="24"/>
          <w:szCs w:val="24"/>
          <w:u w:val="single"/>
          <w:lang w:eastAsia="en-AU"/>
        </w:rPr>
        <w:t>Preparedness and Plans</w:t>
      </w:r>
    </w:p>
    <w:p w:rsidR="002200F7" w:rsidRPr="000D5CDE" w:rsidRDefault="002200F7" w:rsidP="008B79EF">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0D5CDE">
        <w:rPr>
          <w:rFonts w:ascii="Arial" w:eastAsia="Times New Roman" w:hAnsi="Arial" w:cs="Arial"/>
          <w:sz w:val="24"/>
          <w:szCs w:val="24"/>
          <w:lang w:eastAsia="en-AU"/>
        </w:rPr>
        <w:t>Northern Emergency planning was appropriate. Councils were prepared and efficient with good strategies in place to manage the levy systems.</w:t>
      </w:r>
    </w:p>
    <w:p w:rsidR="002200F7" w:rsidRPr="000D5CDE" w:rsidRDefault="002200F7" w:rsidP="008B79EF">
      <w:pPr>
        <w:shd w:val="clear" w:color="auto" w:fill="FFFFFF"/>
        <w:spacing w:before="100" w:beforeAutospacing="1" w:after="100" w:afterAutospacing="1" w:line="234" w:lineRule="atLeast"/>
        <w:jc w:val="both"/>
        <w:rPr>
          <w:rFonts w:ascii="Arial" w:eastAsia="Times New Roman" w:hAnsi="Arial" w:cs="Arial"/>
          <w:sz w:val="24"/>
          <w:szCs w:val="24"/>
          <w:u w:val="single"/>
          <w:lang w:eastAsia="en-AU"/>
        </w:rPr>
      </w:pPr>
      <w:r w:rsidRPr="000D5CDE">
        <w:rPr>
          <w:rFonts w:ascii="Arial" w:eastAsia="Times New Roman" w:hAnsi="Arial" w:cs="Arial"/>
          <w:sz w:val="24"/>
          <w:szCs w:val="24"/>
          <w:u w:val="single"/>
          <w:lang w:eastAsia="en-AU"/>
        </w:rPr>
        <w:t>Community Preparation</w:t>
      </w:r>
    </w:p>
    <w:p w:rsidR="002200F7" w:rsidRPr="000D5CDE" w:rsidRDefault="002200F7" w:rsidP="008B79EF">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0D5CDE">
        <w:rPr>
          <w:rFonts w:ascii="Arial" w:eastAsia="Times New Roman" w:hAnsi="Arial" w:cs="Arial"/>
          <w:sz w:val="24"/>
          <w:szCs w:val="24"/>
          <w:lang w:eastAsia="en-AU"/>
        </w:rPr>
        <w:t>Northern councils have done considerable work with their communities in preparing for such an event. The Newstead area did have some minor issues however this was due to a different communication strategy employed by the NREMC that the residents were not used to.</w:t>
      </w:r>
    </w:p>
    <w:p w:rsidR="002200F7" w:rsidRPr="000D5CDE" w:rsidRDefault="002200F7" w:rsidP="008B79EF">
      <w:pPr>
        <w:shd w:val="clear" w:color="auto" w:fill="FFFFFF"/>
        <w:spacing w:before="100" w:beforeAutospacing="1" w:after="100" w:afterAutospacing="1" w:line="234" w:lineRule="atLeast"/>
        <w:jc w:val="both"/>
        <w:rPr>
          <w:rFonts w:ascii="Arial" w:eastAsia="Times New Roman" w:hAnsi="Arial" w:cs="Arial"/>
          <w:sz w:val="24"/>
          <w:szCs w:val="24"/>
          <w:u w:val="single"/>
          <w:lang w:eastAsia="en-AU"/>
        </w:rPr>
      </w:pPr>
      <w:r w:rsidRPr="000D5CDE">
        <w:rPr>
          <w:rFonts w:ascii="Arial" w:eastAsia="Times New Roman" w:hAnsi="Arial" w:cs="Arial"/>
          <w:sz w:val="24"/>
          <w:szCs w:val="24"/>
          <w:u w:val="single"/>
          <w:lang w:eastAsia="en-AU"/>
        </w:rPr>
        <w:t>Community Alerts and Public Information</w:t>
      </w:r>
    </w:p>
    <w:p w:rsidR="00B97225" w:rsidRPr="000D5CDE" w:rsidRDefault="002200F7" w:rsidP="008B79EF">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0D5CDE">
        <w:rPr>
          <w:rFonts w:ascii="Arial" w:eastAsia="Times New Roman" w:hAnsi="Arial" w:cs="Arial"/>
          <w:sz w:val="24"/>
          <w:szCs w:val="24"/>
          <w:lang w:eastAsia="en-AU"/>
        </w:rPr>
        <w:t>The community alerts and public information would have been more efficient, timely and accurate if managed at a local leve</w:t>
      </w:r>
      <w:r w:rsidR="00B97225" w:rsidRPr="000D5CDE">
        <w:rPr>
          <w:rFonts w:ascii="Arial" w:eastAsia="Times New Roman" w:hAnsi="Arial" w:cs="Arial"/>
          <w:sz w:val="24"/>
          <w:szCs w:val="24"/>
          <w:lang w:eastAsia="en-AU"/>
        </w:rPr>
        <w:t>l;</w:t>
      </w:r>
      <w:r w:rsidRPr="000D5CDE">
        <w:rPr>
          <w:rFonts w:ascii="Arial" w:eastAsia="Times New Roman" w:hAnsi="Arial" w:cs="Arial"/>
          <w:sz w:val="24"/>
          <w:szCs w:val="24"/>
          <w:lang w:eastAsia="en-AU"/>
        </w:rPr>
        <w:t xml:space="preserve"> state coordination </w:t>
      </w:r>
      <w:r w:rsidR="00B97225" w:rsidRPr="000D5CDE">
        <w:rPr>
          <w:rFonts w:ascii="Arial" w:eastAsia="Times New Roman" w:hAnsi="Arial" w:cs="Arial"/>
          <w:sz w:val="24"/>
          <w:szCs w:val="24"/>
          <w:lang w:eastAsia="en-AU"/>
        </w:rPr>
        <w:t xml:space="preserve">can be utilised </w:t>
      </w:r>
      <w:r w:rsidRPr="000D5CDE">
        <w:rPr>
          <w:rFonts w:ascii="Arial" w:eastAsia="Times New Roman" w:hAnsi="Arial" w:cs="Arial"/>
          <w:sz w:val="24"/>
          <w:szCs w:val="24"/>
          <w:lang w:eastAsia="en-AU"/>
        </w:rPr>
        <w:t>for information affecting multiple regions.</w:t>
      </w:r>
    </w:p>
    <w:p w:rsidR="00B97225" w:rsidRPr="000D5CDE" w:rsidRDefault="00B97225" w:rsidP="008B79EF">
      <w:pPr>
        <w:shd w:val="clear" w:color="auto" w:fill="FFFFFF"/>
        <w:spacing w:before="100" w:beforeAutospacing="1" w:after="100" w:afterAutospacing="1" w:line="234" w:lineRule="atLeast"/>
        <w:jc w:val="both"/>
        <w:rPr>
          <w:rFonts w:ascii="Arial" w:eastAsia="Times New Roman" w:hAnsi="Arial" w:cs="Arial"/>
          <w:sz w:val="24"/>
          <w:szCs w:val="24"/>
          <w:u w:val="single"/>
          <w:lang w:eastAsia="en-AU"/>
        </w:rPr>
      </w:pPr>
      <w:r w:rsidRPr="000D5CDE">
        <w:rPr>
          <w:rFonts w:ascii="Arial" w:eastAsia="Times New Roman" w:hAnsi="Arial" w:cs="Arial"/>
          <w:sz w:val="24"/>
          <w:szCs w:val="24"/>
          <w:u w:val="single"/>
          <w:lang w:eastAsia="en-AU"/>
        </w:rPr>
        <w:t>Transition from Response to Recovery</w:t>
      </w:r>
    </w:p>
    <w:p w:rsidR="00B97225" w:rsidRPr="000D5CDE" w:rsidRDefault="002200F7" w:rsidP="008B79EF">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0D5CDE">
        <w:rPr>
          <w:rFonts w:ascii="Arial" w:eastAsia="Times New Roman" w:hAnsi="Arial" w:cs="Arial"/>
          <w:sz w:val="24"/>
          <w:szCs w:val="24"/>
          <w:lang w:eastAsia="en-AU"/>
        </w:rPr>
        <w:t>This would have been dealt with better if the regional committees had established their recovery structures as per the State and regional plans rather than wait for the state to establish a structure and apply it to the regions. The regional structures could easily have reported up into a st</w:t>
      </w:r>
      <w:r w:rsidR="005979E9" w:rsidRPr="000D5CDE">
        <w:rPr>
          <w:rFonts w:ascii="Arial" w:eastAsia="Times New Roman" w:hAnsi="Arial" w:cs="Arial"/>
          <w:sz w:val="24"/>
          <w:szCs w:val="24"/>
          <w:lang w:eastAsia="en-AU"/>
        </w:rPr>
        <w:t>ate structure once established.</w:t>
      </w:r>
      <w:r w:rsidRPr="000D5CDE">
        <w:rPr>
          <w:rFonts w:ascii="Arial" w:eastAsia="Times New Roman" w:hAnsi="Arial" w:cs="Arial"/>
          <w:sz w:val="24"/>
          <w:szCs w:val="24"/>
          <w:lang w:eastAsia="en-AU"/>
        </w:rPr>
        <w:tab/>
      </w:r>
    </w:p>
    <w:p w:rsidR="00B97225" w:rsidRPr="000D5CDE" w:rsidRDefault="005979E9" w:rsidP="008B79EF">
      <w:pPr>
        <w:shd w:val="clear" w:color="auto" w:fill="FFFFFF"/>
        <w:spacing w:before="100" w:beforeAutospacing="1" w:after="100" w:afterAutospacing="1" w:line="234" w:lineRule="atLeast"/>
        <w:jc w:val="both"/>
        <w:rPr>
          <w:rFonts w:ascii="Arial" w:eastAsia="Times New Roman" w:hAnsi="Arial" w:cs="Arial"/>
          <w:sz w:val="24"/>
          <w:szCs w:val="24"/>
          <w:u w:val="single"/>
          <w:lang w:eastAsia="en-AU"/>
        </w:rPr>
      </w:pPr>
      <w:r w:rsidRPr="000D5CDE">
        <w:rPr>
          <w:rFonts w:ascii="Arial" w:eastAsia="Times New Roman" w:hAnsi="Arial" w:cs="Arial"/>
          <w:sz w:val="24"/>
          <w:szCs w:val="24"/>
          <w:u w:val="single"/>
          <w:lang w:eastAsia="en-AU"/>
        </w:rPr>
        <w:t>Future</w:t>
      </w:r>
      <w:r w:rsidR="00B97225" w:rsidRPr="000D5CDE">
        <w:rPr>
          <w:rFonts w:ascii="Arial" w:eastAsia="Times New Roman" w:hAnsi="Arial" w:cs="Arial"/>
          <w:sz w:val="24"/>
          <w:szCs w:val="24"/>
          <w:u w:val="single"/>
          <w:lang w:eastAsia="en-AU"/>
        </w:rPr>
        <w:t xml:space="preserve"> effecti</w:t>
      </w:r>
      <w:r w:rsidRPr="000D5CDE">
        <w:rPr>
          <w:rFonts w:ascii="Arial" w:eastAsia="Times New Roman" w:hAnsi="Arial" w:cs="Arial"/>
          <w:sz w:val="24"/>
          <w:szCs w:val="24"/>
          <w:u w:val="single"/>
          <w:lang w:eastAsia="en-AU"/>
        </w:rPr>
        <w:t>ve mitigation measures</w:t>
      </w:r>
    </w:p>
    <w:p w:rsidR="002200F7" w:rsidRPr="000D5CDE" w:rsidRDefault="00B97225" w:rsidP="008B79EF">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0D5CDE">
        <w:rPr>
          <w:rFonts w:ascii="Arial" w:eastAsia="Times New Roman" w:hAnsi="Arial" w:cs="Arial"/>
          <w:sz w:val="24"/>
          <w:szCs w:val="24"/>
          <w:lang w:eastAsia="en-AU"/>
        </w:rPr>
        <w:t>Identify options for improving debris management for</w:t>
      </w:r>
      <w:r w:rsidR="002200F7" w:rsidRPr="000D5CDE">
        <w:rPr>
          <w:rFonts w:ascii="Arial" w:eastAsia="Times New Roman" w:hAnsi="Arial" w:cs="Arial"/>
          <w:sz w:val="24"/>
          <w:szCs w:val="24"/>
          <w:lang w:eastAsia="en-AU"/>
        </w:rPr>
        <w:t xml:space="preserve"> both forestry operations (private and public) and water storage</w:t>
      </w:r>
      <w:r w:rsidRPr="000D5CDE">
        <w:rPr>
          <w:rFonts w:ascii="Arial" w:eastAsia="Times New Roman" w:hAnsi="Arial" w:cs="Arial"/>
          <w:sz w:val="24"/>
          <w:szCs w:val="24"/>
          <w:lang w:eastAsia="en-AU"/>
        </w:rPr>
        <w:t>.</w:t>
      </w:r>
    </w:p>
    <w:p w:rsidR="006E292B" w:rsidRDefault="00F43EE4" w:rsidP="008B79EF">
      <w:pPr>
        <w:shd w:val="clear" w:color="auto" w:fill="FFFFFF"/>
        <w:spacing w:before="100" w:beforeAutospacing="1" w:after="100" w:afterAutospacing="1" w:line="234" w:lineRule="atLeast"/>
        <w:jc w:val="both"/>
        <w:rPr>
          <w:rFonts w:ascii="Arial" w:eastAsia="Times New Roman" w:hAnsi="Arial" w:cs="Arial"/>
          <w:sz w:val="24"/>
          <w:szCs w:val="24"/>
          <w:lang w:eastAsia="en-AU"/>
        </w:rPr>
      </w:pPr>
      <w:r w:rsidRPr="00926A64">
        <w:rPr>
          <w:rFonts w:ascii="Arial" w:eastAsia="Times New Roman" w:hAnsi="Arial" w:cs="Arial"/>
          <w:color w:val="4472C4" w:themeColor="accent5"/>
          <w:sz w:val="24"/>
          <w:szCs w:val="24"/>
          <w:lang w:eastAsia="en-AU"/>
        </w:rPr>
        <w:t xml:space="preserve">  </w:t>
      </w:r>
      <w:r w:rsidR="006E292B">
        <w:rPr>
          <w:rFonts w:ascii="Arial" w:eastAsia="Times New Roman" w:hAnsi="Arial" w:cs="Arial"/>
          <w:sz w:val="24"/>
          <w:szCs w:val="24"/>
          <w:lang w:eastAsia="en-AU"/>
        </w:rPr>
        <w:br w:type="page"/>
      </w:r>
    </w:p>
    <w:p w:rsidR="0031048A" w:rsidRDefault="0031048A" w:rsidP="00A278CB">
      <w:pPr>
        <w:shd w:val="clear" w:color="auto" w:fill="FFFFFF"/>
        <w:spacing w:before="100" w:beforeAutospacing="1" w:after="100" w:afterAutospacing="1" w:line="234" w:lineRule="atLeast"/>
        <w:rPr>
          <w:rFonts w:ascii="Arial" w:eastAsia="Times New Roman" w:hAnsi="Arial" w:cs="Arial"/>
          <w:sz w:val="24"/>
          <w:szCs w:val="24"/>
          <w:lang w:eastAsia="en-AU"/>
        </w:rPr>
        <w:sectPr w:rsidR="0031048A">
          <w:footerReference w:type="default" r:id="rId9"/>
          <w:pgSz w:w="11906" w:h="16838"/>
          <w:pgMar w:top="1440" w:right="1440" w:bottom="1440" w:left="1440" w:header="708" w:footer="708" w:gutter="0"/>
          <w:cols w:space="708"/>
          <w:docGrid w:linePitch="360"/>
        </w:sectPr>
      </w:pPr>
    </w:p>
    <w:p w:rsidR="00761949" w:rsidRDefault="006E292B" w:rsidP="00E60647">
      <w:pPr>
        <w:shd w:val="clear" w:color="auto" w:fill="FFFFFF"/>
        <w:spacing w:before="100" w:beforeAutospacing="1" w:after="100" w:afterAutospacing="1" w:line="234" w:lineRule="atLeast"/>
        <w:ind w:left="360"/>
        <w:rPr>
          <w:rFonts w:ascii="Arial" w:eastAsia="Times New Roman" w:hAnsi="Arial" w:cs="Arial"/>
          <w:sz w:val="24"/>
          <w:szCs w:val="24"/>
          <w:lang w:eastAsia="en-AU"/>
        </w:rPr>
      </w:pPr>
      <w:r>
        <w:rPr>
          <w:rFonts w:ascii="Arial" w:eastAsia="Times New Roman" w:hAnsi="Arial" w:cs="Arial"/>
          <w:sz w:val="24"/>
          <w:szCs w:val="24"/>
          <w:lang w:eastAsia="en-AU"/>
        </w:rPr>
        <w:t xml:space="preserve">Appendix 1: </w:t>
      </w:r>
      <w:r w:rsidR="00761949">
        <w:rPr>
          <w:rFonts w:ascii="Arial" w:eastAsia="Times New Roman" w:hAnsi="Arial" w:cs="Arial"/>
          <w:sz w:val="24"/>
          <w:szCs w:val="24"/>
          <w:lang w:eastAsia="en-AU"/>
        </w:rPr>
        <w:t>Tasmanian Flood Studies</w:t>
      </w:r>
    </w:p>
    <w:tbl>
      <w:tblPr>
        <w:tblW w:w="13973" w:type="dxa"/>
        <w:tblInd w:w="452" w:type="dxa"/>
        <w:tblLayout w:type="fixed"/>
        <w:tblLook w:val="04A0" w:firstRow="1" w:lastRow="0" w:firstColumn="1" w:lastColumn="0" w:noHBand="0" w:noVBand="1"/>
      </w:tblPr>
      <w:tblGrid>
        <w:gridCol w:w="1783"/>
        <w:gridCol w:w="1559"/>
        <w:gridCol w:w="2268"/>
        <w:gridCol w:w="709"/>
        <w:gridCol w:w="3260"/>
        <w:gridCol w:w="2268"/>
        <w:gridCol w:w="2126"/>
      </w:tblGrid>
      <w:tr w:rsidR="000A167E" w:rsidRPr="0078794B" w:rsidTr="004D57CF">
        <w:trPr>
          <w:trHeight w:val="300"/>
        </w:trPr>
        <w:tc>
          <w:tcPr>
            <w:tcW w:w="17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b/>
                <w:bCs/>
                <w:color w:val="000000"/>
                <w:lang w:eastAsia="en-AU"/>
              </w:rPr>
            </w:pPr>
            <w:bookmarkStart w:id="1" w:name="RANGE!A1:G58"/>
            <w:r w:rsidRPr="0078794B">
              <w:rPr>
                <w:rFonts w:ascii="Calibri" w:eastAsia="Times New Roman" w:hAnsi="Calibri" w:cs="Times New Roman"/>
                <w:b/>
                <w:bCs/>
                <w:color w:val="000000"/>
                <w:lang w:eastAsia="en-AU"/>
              </w:rPr>
              <w:t>Municipal Area</w:t>
            </w:r>
            <w:bookmarkEnd w:id="1"/>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b/>
                <w:bCs/>
                <w:color w:val="000000"/>
                <w:lang w:eastAsia="en-AU"/>
              </w:rPr>
            </w:pPr>
            <w:r w:rsidRPr="0078794B">
              <w:rPr>
                <w:rFonts w:ascii="Calibri" w:eastAsia="Times New Roman" w:hAnsi="Calibri" w:cs="Times New Roman"/>
                <w:b/>
                <w:bCs/>
                <w:color w:val="000000"/>
                <w:lang w:eastAsia="en-AU"/>
              </w:rPr>
              <w:t>Waterway</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b/>
                <w:bCs/>
                <w:color w:val="000000"/>
                <w:lang w:eastAsia="en-AU"/>
              </w:rPr>
            </w:pPr>
            <w:r w:rsidRPr="0078794B">
              <w:rPr>
                <w:rFonts w:ascii="Calibri" w:eastAsia="Times New Roman" w:hAnsi="Calibri" w:cs="Times New Roman"/>
                <w:b/>
                <w:bCs/>
                <w:color w:val="000000"/>
                <w:lang w:eastAsia="en-AU"/>
              </w:rPr>
              <w:t>Locality</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b/>
                <w:bCs/>
                <w:color w:val="000000"/>
                <w:lang w:eastAsia="en-AU"/>
              </w:rPr>
            </w:pPr>
            <w:r w:rsidRPr="0078794B">
              <w:rPr>
                <w:rFonts w:ascii="Calibri" w:eastAsia="Times New Roman" w:hAnsi="Calibri" w:cs="Times New Roman"/>
                <w:b/>
                <w:bCs/>
                <w:color w:val="000000"/>
                <w:lang w:eastAsia="en-AU"/>
              </w:rPr>
              <w:t>Date</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b/>
                <w:bCs/>
                <w:color w:val="000000"/>
                <w:lang w:eastAsia="en-AU"/>
              </w:rPr>
            </w:pPr>
            <w:r w:rsidRPr="0078794B">
              <w:rPr>
                <w:rFonts w:ascii="Calibri" w:eastAsia="Times New Roman" w:hAnsi="Calibri" w:cs="Times New Roman"/>
                <w:b/>
                <w:bCs/>
                <w:color w:val="000000"/>
                <w:lang w:eastAsia="en-AU"/>
              </w:rPr>
              <w:t>Study name</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b/>
                <w:bCs/>
                <w:color w:val="000000"/>
                <w:lang w:eastAsia="en-AU"/>
              </w:rPr>
            </w:pPr>
            <w:r w:rsidRPr="0078794B">
              <w:rPr>
                <w:rFonts w:ascii="Calibri" w:eastAsia="Times New Roman" w:hAnsi="Calibri" w:cs="Times New Roman"/>
                <w:b/>
                <w:bCs/>
                <w:color w:val="000000"/>
                <w:lang w:eastAsia="en-AU"/>
              </w:rPr>
              <w:t>Author or citation</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b/>
                <w:bCs/>
                <w:color w:val="000000"/>
                <w:lang w:eastAsia="en-AU"/>
              </w:rPr>
            </w:pPr>
            <w:r w:rsidRPr="0078794B">
              <w:rPr>
                <w:rFonts w:ascii="Calibri" w:eastAsia="Times New Roman" w:hAnsi="Calibri" w:cs="Times New Roman"/>
                <w:b/>
                <w:bCs/>
                <w:color w:val="000000"/>
                <w:lang w:eastAsia="en-AU"/>
              </w:rPr>
              <w:t>Commissioning org</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Break O'Day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Lower george</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St Helens</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2013</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Lower George River Floodplain Risk Management Plan</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pitt&amp;sherry</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Break O'Day Council</w:t>
            </w:r>
          </w:p>
        </w:tc>
      </w:tr>
      <w:tr w:rsidR="000A167E" w:rsidRPr="0078794B" w:rsidTr="004D57CF">
        <w:trPr>
          <w:trHeight w:val="9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Brighton</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Jordan River</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Pontville and Brighton</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1993</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Jordan River Flood Study</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HEC</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Department Primary Industries, Water and Environment</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Burnie</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Cooee Creek</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Cooee</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2011</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xml:space="preserve">Cooee Creek </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Entura</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Burnie City Council</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Burnie</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Shorwell Creek</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Burnie</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2011</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Shorewell Creek Flood Study</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Entura</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Burnie City Council</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Burnie</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Whale Bone Creek</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Burnie</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2009</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Whale Bone Creek Flood Study</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Entura</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Burnie City Council</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Burnie</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Romaine Creek</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Burnie</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2009</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Romaine Creek Flood Study</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Entura</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Burnie City Council</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Burnie</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Pet and Guide Rivers</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Burnie</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2004</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Pet &amp; Guide Dam Break and Flood Study</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Burnie City Council</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Central Coast</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Forth</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Forth, Turners Beach, Leith</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2011</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Climate Futures for Tasmania: Flood Inundation Mapping</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Entura</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SES</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Clarence</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Kangaroo Bay Rivulet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Warrane</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2005</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Kangaroo Flood Study</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Water</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Water</w:t>
            </w:r>
          </w:p>
        </w:tc>
      </w:tr>
      <w:tr w:rsidR="000A167E" w:rsidRPr="0078794B" w:rsidTr="004D57CF">
        <w:trPr>
          <w:trHeight w:val="6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Clarence</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Kangaroo Bay Rivulet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Warrane</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2004</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Flood Inundation &amp; Hazard Mapping Study for Kangaroo Bay Rivulet vol 1-4</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HEC</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Water</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Clarence</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Risdon Brook</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Risdon</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2004</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Flood Inundation &amp; Hazard Mapping Study for Risdon Brook vol 1-4</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HEC</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Water</w:t>
            </w:r>
          </w:p>
        </w:tc>
      </w:tr>
      <w:tr w:rsidR="000A167E" w:rsidRPr="0078794B" w:rsidTr="004D57CF">
        <w:trPr>
          <w:trHeight w:val="6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Clarence</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Coal River</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Richmond</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1995</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Richmond Floodplain Study</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Parkyn RMJ (199x) Richmond Flood Plain Study - HEC Water Resources Department Report No. 001-0546-CR-001</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DPIF</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Derwent Valley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River Derwent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New Norfolk</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2011</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Climate Futures for Tasmania: Flood Inundation Mapping</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Entura</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SES</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Derwent Valley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River Derwent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New Norfolk</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Flood Inundation Map - Derwent River at New Norfolk</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DPIF</w:t>
            </w:r>
          </w:p>
        </w:tc>
      </w:tr>
      <w:tr w:rsidR="000A167E" w:rsidRPr="0078794B" w:rsidTr="004D57CF">
        <w:trPr>
          <w:trHeight w:val="6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Glamorgan Spring Bay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Saltwater Creek</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Swansea</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2005</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Saltwater Creek - Flood Study</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GHD 2005</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Glamorgan Spring Bay Council</w:t>
            </w:r>
          </w:p>
        </w:tc>
      </w:tr>
      <w:tr w:rsidR="000A167E" w:rsidRPr="0078794B" w:rsidTr="004D57CF">
        <w:trPr>
          <w:trHeight w:val="6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Glenorchy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Humphreys Rivulet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Greater Hobart, paricularly Glenorchy</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2008</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Final Report on the Review of Mineral Resources Tasmania Landslide Hazard Zoning Mt Wellington- Hobart Area Debris Flow</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University NSW &amp; Coffey Geotechnic</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HCC,GCC, State Govt, KC, Hobart Water.</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Glenorchy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Humphreys Rivulet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Glenorchy</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2005</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Humphreys Rivulet - Flood Inundation and Hazard Mapping 2002</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Thompson &amp; Brett - Cardno Willing</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GCC &amp; Hobart Water</w:t>
            </w:r>
          </w:p>
        </w:tc>
      </w:tr>
      <w:tr w:rsidR="000A167E" w:rsidRPr="0078794B" w:rsidTr="004D57CF">
        <w:trPr>
          <w:trHeight w:val="6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Glenorchy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Humphreys Rivulet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Glenorchy</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2005</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Flood Inundation and Hazard Mapping Study for Humphreys Rivulet - Vol 1 Hydrology and hydraulics Report 2005</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Hydro Tasmania</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Water</w:t>
            </w:r>
          </w:p>
        </w:tc>
      </w:tr>
      <w:tr w:rsidR="000A167E" w:rsidRPr="0078794B" w:rsidTr="004D57CF">
        <w:trPr>
          <w:trHeight w:val="6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Glenorchy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Humphreys Rivulet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Glenorchy</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2005</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Flood Inundation and Hazard Mapping Study for Humphreys Rivulet - Vol 2 Flood Inundation and Hazard Maps</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Hydro Tasmania</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Water</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Glenorchy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Humphrys Rivulet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Glenorchy</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2004</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Humphries Rivulet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Water</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Water</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Glenorchy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Barossa Creek</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Glenorchy</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1999</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Barossa Creek Flooding Analysis</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Thompson &amp; Brett - Willing &amp; Partners Consulting Group</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Glenorchy City Council</w:t>
            </w:r>
          </w:p>
        </w:tc>
      </w:tr>
      <w:tr w:rsidR="000A167E" w:rsidRPr="0078794B" w:rsidTr="004D57CF">
        <w:trPr>
          <w:trHeight w:val="6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Glenorchy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Humphreys Rivulet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Glenorchy</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1997</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Analysis of the Humphreys Rivulet Catchment and Concept Design of Flood Protection Measures</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Thompson &amp; Brett - Willing &amp; Partners Consulting Group</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Glenorchy City Council</w:t>
            </w:r>
          </w:p>
        </w:tc>
      </w:tr>
      <w:tr w:rsidR="000A167E" w:rsidRPr="0078794B" w:rsidTr="004D57CF">
        <w:trPr>
          <w:trHeight w:val="6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Glenorchy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Islet Rivulet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Glenorchy</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1997</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Analysis of the Islet Rivulet Catchment and Concept Design of Flood Protection Measures</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Thompson &amp; Brett - Willing &amp; Partners Consulting Group</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Glenorchy City Council</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Glenorchy City and Hobart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New Town Rivulet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New Town/ Moonah</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1998</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New Town Rivulet Flood Study 1998</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HECEC Australia Pty Ltd</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HCC &amp; GCC</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Rivulet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South Hobart</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2010</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Rivulet Flood Study: Extension</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City Council</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Maypole Creek</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New Town</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2008</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Maypole Rivulet Flood Study</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City Council</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Sandy Bay Rivulet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Sandy Bay</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2002</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Sanby Bay Rivulet Dam Break and Flood</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Water</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Water</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Sandy Bay Rivulet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Sandy Bay</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1999</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Sandy Bay Rivulet Flood Study</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HEC</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City Council</w:t>
            </w:r>
          </w:p>
        </w:tc>
      </w:tr>
      <w:tr w:rsidR="000A167E" w:rsidRPr="0078794B" w:rsidTr="004D57CF">
        <w:trPr>
          <w:trHeight w:val="6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New Town Rivulet, Maypole Ck, and Brusy Ck</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New Town, Moonah, Lenah Valley</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1999</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New Town Flood Study: Extension</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City Council</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Rivulet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South Hobart</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1997</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Rivulet Flood Study</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HEC</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City Council</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Sandy Bay Rivulet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Sandy Bay</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b/>
                <w:bCs/>
                <w:color w:val="000000"/>
                <w:lang w:eastAsia="en-AU"/>
              </w:rPr>
            </w:pPr>
            <w:r w:rsidRPr="0078794B">
              <w:rPr>
                <w:rFonts w:ascii="Calibri" w:eastAsia="Times New Roman" w:hAnsi="Calibri" w:cs="Times New Roman"/>
                <w:b/>
                <w:bCs/>
                <w:color w:val="000000"/>
                <w:lang w:eastAsia="en-AU"/>
              </w:rPr>
              <w:t> </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b/>
                <w:bCs/>
                <w:color w:val="000000"/>
                <w:lang w:eastAsia="en-AU"/>
              </w:rPr>
            </w:pPr>
            <w:r w:rsidRPr="0078794B">
              <w:rPr>
                <w:rFonts w:ascii="Calibri" w:eastAsia="Times New Roman" w:hAnsi="Calibri" w:cs="Times New Roman"/>
                <w:b/>
                <w:bCs/>
                <w:color w:val="000000"/>
                <w:lang w:eastAsia="en-AU"/>
              </w:rPr>
              <w:t> </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b/>
                <w:bCs/>
                <w:color w:val="000000"/>
                <w:lang w:eastAsia="en-AU"/>
              </w:rPr>
            </w:pPr>
            <w:r w:rsidRPr="0078794B">
              <w:rPr>
                <w:rFonts w:ascii="Calibri" w:eastAsia="Times New Roman" w:hAnsi="Calibri" w:cs="Times New Roman"/>
                <w:b/>
                <w:bCs/>
                <w:color w:val="000000"/>
                <w:lang w:eastAsia="en-AU"/>
              </w:rPr>
              <w:t> </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New Town Rivulet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New Town</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b/>
                <w:bCs/>
                <w:color w:val="000000"/>
                <w:lang w:eastAsia="en-AU"/>
              </w:rPr>
            </w:pPr>
            <w:r w:rsidRPr="0078794B">
              <w:rPr>
                <w:rFonts w:ascii="Calibri" w:eastAsia="Times New Roman" w:hAnsi="Calibri" w:cs="Times New Roman"/>
                <w:b/>
                <w:bCs/>
                <w:color w:val="000000"/>
                <w:lang w:eastAsia="en-AU"/>
              </w:rPr>
              <w:t> </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b/>
                <w:bCs/>
                <w:color w:val="000000"/>
                <w:lang w:eastAsia="en-AU"/>
              </w:rPr>
            </w:pPr>
            <w:r w:rsidRPr="0078794B">
              <w:rPr>
                <w:rFonts w:ascii="Calibri" w:eastAsia="Times New Roman" w:hAnsi="Calibri" w:cs="Times New Roman"/>
                <w:b/>
                <w:bCs/>
                <w:color w:val="000000"/>
                <w:lang w:eastAsia="en-AU"/>
              </w:rPr>
              <w:t> </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b/>
                <w:bCs/>
                <w:color w:val="000000"/>
                <w:lang w:eastAsia="en-AU"/>
              </w:rPr>
            </w:pPr>
            <w:r w:rsidRPr="0078794B">
              <w:rPr>
                <w:rFonts w:ascii="Calibri" w:eastAsia="Times New Roman" w:hAnsi="Calibri" w:cs="Times New Roman"/>
                <w:b/>
                <w:bCs/>
                <w:color w:val="000000"/>
                <w:lang w:eastAsia="en-AU"/>
              </w:rPr>
              <w:t> </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 Rivulet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Hobart</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b/>
                <w:bCs/>
                <w:color w:val="000000"/>
                <w:lang w:eastAsia="en-AU"/>
              </w:rPr>
            </w:pPr>
            <w:r w:rsidRPr="0078794B">
              <w:rPr>
                <w:rFonts w:ascii="Calibri" w:eastAsia="Times New Roman" w:hAnsi="Calibri" w:cs="Times New Roman"/>
                <w:b/>
                <w:bCs/>
                <w:color w:val="000000"/>
                <w:lang w:eastAsia="en-AU"/>
              </w:rPr>
              <w:t> </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b/>
                <w:bCs/>
                <w:color w:val="000000"/>
                <w:lang w:eastAsia="en-AU"/>
              </w:rPr>
            </w:pPr>
            <w:r w:rsidRPr="0078794B">
              <w:rPr>
                <w:rFonts w:ascii="Calibri" w:eastAsia="Times New Roman" w:hAnsi="Calibri" w:cs="Times New Roman"/>
                <w:b/>
                <w:bCs/>
                <w:color w:val="000000"/>
                <w:lang w:eastAsia="en-AU"/>
              </w:rPr>
              <w:t> </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b/>
                <w:bCs/>
                <w:color w:val="000000"/>
                <w:lang w:eastAsia="en-AU"/>
              </w:rPr>
            </w:pPr>
            <w:r w:rsidRPr="0078794B">
              <w:rPr>
                <w:rFonts w:ascii="Calibri" w:eastAsia="Times New Roman" w:hAnsi="Calibri" w:cs="Times New Roman"/>
                <w:b/>
                <w:bCs/>
                <w:color w:val="000000"/>
                <w:lang w:eastAsia="en-AU"/>
              </w:rPr>
              <w:t> </w:t>
            </w:r>
          </w:p>
        </w:tc>
      </w:tr>
      <w:tr w:rsidR="000A167E" w:rsidRPr="0078794B" w:rsidTr="004D57CF">
        <w:trPr>
          <w:trHeight w:val="6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Huon Valley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Huon River</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Tahune to Port Huon</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2016</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Floodplain Risk Assessment process for Tasmania : Huonville Case study - Flood Study Report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Enura</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SES</w:t>
            </w:r>
          </w:p>
        </w:tc>
      </w:tr>
      <w:tr w:rsidR="000A167E" w:rsidRPr="0078794B" w:rsidTr="004D57CF">
        <w:trPr>
          <w:trHeight w:val="6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Huon Valley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Huon River</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Huonville</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2016</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Floodplain Risk Assessment process for Tasmania : Huonville Case study -Huonville Floodplain Study</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Entura</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SES</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Huon Valley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Huon River</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Huonville</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2011</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Climate Futures for Tasmania: Flood Inundation Mapping</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Entura</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SES</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Huon Valley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Mountain River</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Huonville</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1993</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Mountain River Flood Study</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GHD (1993) Mountain River Flood Plain Study [for DPIFE]</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DPIFE</w:t>
            </w:r>
          </w:p>
        </w:tc>
      </w:tr>
      <w:tr w:rsidR="000A167E" w:rsidRPr="0078794B" w:rsidTr="004D57CF">
        <w:trPr>
          <w:trHeight w:val="9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Huon Valley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Huon River</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Huonville</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1992</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Huon River Floodplain Study - Stage 2 Report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Department Primary Industries, Water and Environment</w:t>
            </w:r>
          </w:p>
        </w:tc>
      </w:tr>
      <w:tr w:rsidR="000A167E" w:rsidRPr="0078794B" w:rsidTr="004D57CF">
        <w:trPr>
          <w:trHeight w:val="12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Huon Valley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Huon River</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Huonville</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1991</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Huon River Floodplain Study - Stage 1 Report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Department of Infrastructure, Energy and Resources; Rivers and Water Supply Commission</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Kentish</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Redwater Creek</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Railton</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2014</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Review of Railton Flood Mitigation Options</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SEMF</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Kentish Council</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Kentish</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Redwater Creek</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Railton</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2004</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Redwater Creek, Railton Flood Study</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Kentish Council</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Latrobe</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Kings Creek</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Latrobe</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2003</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Latrobe Regional Flood Mitigation Program</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Latrobe Council</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Latrobe</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Mersey River; Kings Creek</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Latrobe</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1994</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Latrobe Floodplain Study</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Latrobe Council</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Latrobe/Kentish/Devonport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Mersey River</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Latrobe, Kimberley, Liena</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2011</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Climate Futures for Tasmania: Flood Inundation Mapping</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Entura</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SES</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Latrobe/Kentish/Devonport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Mersey River</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Latrobe, Kimberley, Liena</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2009</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Mersey River</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Hydro Tasmania</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Launceston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North Esk River; Tamar River</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Launceston</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2004</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Invermay Flood Levee Study</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Launceston City Council</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Launceston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North Esk River</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Launceston</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1994</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Launceston Flood Protection Scheme North Esk Reassessment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Launceston City Council</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Launceston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Tamar River; South Esk River; North Esk River</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Launceston</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1994</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Launceston Flood Protection Scheme Reassessment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Launceston City Council</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Launceston City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South Esk River</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Launceston</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1984</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Launceston Flood Protection Scheme Flood Levels in the Evandale Area</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Launceston City Council</w:t>
            </w:r>
          </w:p>
        </w:tc>
      </w:tr>
      <w:tr w:rsidR="000A167E" w:rsidRPr="0078794B" w:rsidTr="004D57CF">
        <w:trPr>
          <w:trHeight w:val="6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Meadner Valley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Meander River</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Deloraine</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1997</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Deloraine Flood Study</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Parkyn RMJ (199x) Deloraine Flood Study - HEC Water Resources Department Report No. 001-089-CR001</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DPIF</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Meander Valley</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Meander River</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Deloraine</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2016</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Meander Valley Council</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Northen Midlands</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South Esk River and Back Creek</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Longford</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2002</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Longford Flood Mapping</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Hydro Tasmania</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Northern Midlands Council</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Northern Midlands</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South Esk</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Longford and Hadspen</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2016</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Northern Midlands Council</w:t>
            </w:r>
          </w:p>
        </w:tc>
      </w:tr>
      <w:tr w:rsidR="000A167E" w:rsidRPr="0078794B" w:rsidTr="004D57CF">
        <w:trPr>
          <w:trHeight w:val="12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Northern Midlands</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South Esk</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Perth</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1994</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Perth Floodplain Study</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Wilson DR (1992) Perth - Longford Flood Plain Study HEC Water Resources Department Report WR92/02 and Ratcliffe S (1994) Perth - Evandale Floodplain Study Hydraulic Analysis</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DPIF</w:t>
            </w:r>
          </w:p>
        </w:tc>
      </w:tr>
      <w:tr w:rsidR="000A167E" w:rsidRPr="0078794B" w:rsidTr="004D57CF">
        <w:trPr>
          <w:trHeight w:val="12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Northern Midlands</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Macquaire River, South Esk River, Back Creek</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Longford</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1994</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Longford Flood Plain Study</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Parkyn RMJ (1994) Longford Floodplain Study - HEC Water Resources Department Report No. 001-0529-CR-001 and Wilson DR (1992) Perth - Longford Flood Plain Study HEC Water Resources Department Report WR92/02</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DPIF</w:t>
            </w:r>
          </w:p>
        </w:tc>
      </w:tr>
      <w:tr w:rsidR="000A167E" w:rsidRPr="0078794B" w:rsidTr="004D57CF">
        <w:trPr>
          <w:trHeight w:val="3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Sorell</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Sorell Rivulet</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Sorell</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2006</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Sorell Rivulet Flood Study</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 </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Sorell Council</w:t>
            </w:r>
          </w:p>
        </w:tc>
      </w:tr>
      <w:tr w:rsidR="000A167E" w:rsidRPr="0078794B" w:rsidTr="004D57CF">
        <w:trPr>
          <w:trHeight w:val="600"/>
        </w:trPr>
        <w:tc>
          <w:tcPr>
            <w:tcW w:w="1783" w:type="dxa"/>
            <w:tcBorders>
              <w:top w:val="nil"/>
              <w:left w:val="single" w:sz="4" w:space="0" w:color="auto"/>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West Coast</w:t>
            </w:r>
          </w:p>
        </w:tc>
        <w:tc>
          <w:tcPr>
            <w:tcW w:w="155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Pieman River</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Pieman Heads, Corinna, Rosebery, Tullah</w:t>
            </w:r>
          </w:p>
        </w:tc>
        <w:tc>
          <w:tcPr>
            <w:tcW w:w="709"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jc w:val="right"/>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2013</w:t>
            </w:r>
          </w:p>
        </w:tc>
        <w:tc>
          <w:tcPr>
            <w:tcW w:w="3260"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Pieman River Flood Evacuation Plan</w:t>
            </w:r>
          </w:p>
        </w:tc>
        <w:tc>
          <w:tcPr>
            <w:tcW w:w="2268"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Entura</w:t>
            </w:r>
          </w:p>
        </w:tc>
        <w:tc>
          <w:tcPr>
            <w:tcW w:w="2126" w:type="dxa"/>
            <w:tcBorders>
              <w:top w:val="nil"/>
              <w:left w:val="nil"/>
              <w:bottom w:val="single" w:sz="4" w:space="0" w:color="auto"/>
              <w:right w:val="single" w:sz="4" w:space="0" w:color="auto"/>
            </w:tcBorders>
            <w:shd w:val="clear" w:color="auto" w:fill="auto"/>
            <w:vAlign w:val="bottom"/>
            <w:hideMark/>
          </w:tcPr>
          <w:p w:rsidR="0078794B" w:rsidRPr="0078794B" w:rsidRDefault="0078794B" w:rsidP="0078794B">
            <w:pPr>
              <w:spacing w:after="0" w:line="240" w:lineRule="auto"/>
              <w:rPr>
                <w:rFonts w:ascii="Calibri" w:eastAsia="Times New Roman" w:hAnsi="Calibri" w:cs="Times New Roman"/>
                <w:color w:val="000000"/>
                <w:lang w:eastAsia="en-AU"/>
              </w:rPr>
            </w:pPr>
            <w:r w:rsidRPr="0078794B">
              <w:rPr>
                <w:rFonts w:ascii="Calibri" w:eastAsia="Times New Roman" w:hAnsi="Calibri" w:cs="Times New Roman"/>
                <w:color w:val="000000"/>
                <w:lang w:eastAsia="en-AU"/>
              </w:rPr>
              <w:t>West Coast Council</w:t>
            </w:r>
          </w:p>
        </w:tc>
      </w:tr>
    </w:tbl>
    <w:p w:rsidR="00761949" w:rsidRDefault="00761949">
      <w:pPr>
        <w:rPr>
          <w:rFonts w:ascii="Arial" w:eastAsia="Times New Roman" w:hAnsi="Arial" w:cs="Arial"/>
          <w:sz w:val="24"/>
          <w:szCs w:val="24"/>
          <w:lang w:eastAsia="en-AU"/>
        </w:rPr>
      </w:pPr>
      <w:r>
        <w:rPr>
          <w:rFonts w:ascii="Arial" w:eastAsia="Times New Roman" w:hAnsi="Arial" w:cs="Arial"/>
          <w:sz w:val="24"/>
          <w:szCs w:val="24"/>
          <w:lang w:eastAsia="en-AU"/>
        </w:rPr>
        <w:br w:type="page"/>
      </w:r>
    </w:p>
    <w:p w:rsidR="00A278CB" w:rsidRPr="00042DD0" w:rsidRDefault="00761949" w:rsidP="00E60647">
      <w:pPr>
        <w:shd w:val="clear" w:color="auto" w:fill="FFFFFF"/>
        <w:spacing w:before="100" w:beforeAutospacing="1" w:after="100" w:afterAutospacing="1" w:line="234" w:lineRule="atLeast"/>
        <w:ind w:left="360"/>
        <w:rPr>
          <w:rFonts w:ascii="Arial" w:eastAsia="Times New Roman" w:hAnsi="Arial" w:cs="Arial"/>
          <w:sz w:val="24"/>
          <w:szCs w:val="24"/>
          <w:lang w:eastAsia="en-AU"/>
        </w:rPr>
      </w:pPr>
      <w:r>
        <w:rPr>
          <w:rFonts w:ascii="Arial" w:eastAsia="Times New Roman" w:hAnsi="Arial" w:cs="Arial"/>
          <w:sz w:val="24"/>
          <w:szCs w:val="24"/>
          <w:lang w:eastAsia="en-AU"/>
        </w:rPr>
        <w:t xml:space="preserve">Appendix 2: </w:t>
      </w:r>
      <w:r w:rsidR="00A278CB" w:rsidRPr="005E7C55">
        <w:rPr>
          <w:rFonts w:ascii="Arial" w:eastAsia="Times New Roman" w:hAnsi="Arial" w:cs="Arial"/>
          <w:sz w:val="24"/>
          <w:szCs w:val="24"/>
          <w:lang w:eastAsia="en-AU"/>
        </w:rPr>
        <w:t>Tasmanian flood plans</w:t>
      </w:r>
    </w:p>
    <w:tbl>
      <w:tblPr>
        <w:tblW w:w="125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6"/>
        <w:gridCol w:w="3245"/>
      </w:tblGrid>
      <w:tr w:rsidR="00A278CB" w:rsidRPr="00042DD0" w:rsidTr="005E7C55">
        <w:trPr>
          <w:trHeight w:val="114"/>
        </w:trPr>
        <w:tc>
          <w:tcPr>
            <w:tcW w:w="9346" w:type="dxa"/>
          </w:tcPr>
          <w:p w:rsidR="00A278CB" w:rsidRPr="00042DD0" w:rsidRDefault="00A278CB" w:rsidP="00E60647">
            <w:pPr>
              <w:pStyle w:val="Default"/>
              <w:spacing w:before="60" w:after="60"/>
              <w:rPr>
                <w:rFonts w:ascii="Arial" w:hAnsi="Arial" w:cs="Arial"/>
                <w:b/>
              </w:rPr>
            </w:pPr>
            <w:r w:rsidRPr="00042DD0">
              <w:rPr>
                <w:rFonts w:ascii="Arial" w:hAnsi="Arial" w:cs="Arial"/>
                <w:b/>
              </w:rPr>
              <w:t>Plan</w:t>
            </w:r>
          </w:p>
        </w:tc>
        <w:tc>
          <w:tcPr>
            <w:tcW w:w="3245" w:type="dxa"/>
          </w:tcPr>
          <w:p w:rsidR="00A278CB" w:rsidRPr="00042DD0" w:rsidRDefault="00A278CB" w:rsidP="00E60647">
            <w:pPr>
              <w:pStyle w:val="Default"/>
              <w:spacing w:before="60" w:after="60"/>
              <w:rPr>
                <w:rFonts w:ascii="Arial" w:hAnsi="Arial" w:cs="Arial"/>
                <w:b/>
              </w:rPr>
            </w:pPr>
            <w:r w:rsidRPr="00042DD0">
              <w:rPr>
                <w:rFonts w:ascii="Arial" w:hAnsi="Arial" w:cs="Arial"/>
                <w:b/>
              </w:rPr>
              <w:t>Plan Owner</w:t>
            </w:r>
          </w:p>
        </w:tc>
      </w:tr>
      <w:tr w:rsidR="00A278CB" w:rsidRPr="00042DD0" w:rsidTr="005E7C55">
        <w:trPr>
          <w:trHeight w:val="114"/>
        </w:trPr>
        <w:tc>
          <w:tcPr>
            <w:tcW w:w="9346" w:type="dxa"/>
          </w:tcPr>
          <w:p w:rsidR="00A278CB" w:rsidRPr="00042DD0" w:rsidRDefault="00A278CB" w:rsidP="00E60647">
            <w:pPr>
              <w:pStyle w:val="Default"/>
              <w:spacing w:before="60" w:after="60"/>
              <w:rPr>
                <w:rFonts w:ascii="Arial" w:hAnsi="Arial" w:cs="Arial"/>
              </w:rPr>
            </w:pPr>
            <w:r w:rsidRPr="00042DD0">
              <w:rPr>
                <w:rFonts w:ascii="Arial" w:hAnsi="Arial" w:cs="Arial"/>
              </w:rPr>
              <w:t>Dam Safety Emergencies State Special Emergency Management Plan Issue 2 2016</w:t>
            </w:r>
          </w:p>
        </w:tc>
        <w:tc>
          <w:tcPr>
            <w:tcW w:w="3245" w:type="dxa"/>
          </w:tcPr>
          <w:p w:rsidR="00A278CB" w:rsidRPr="00042DD0" w:rsidRDefault="00A278CB" w:rsidP="00E60647">
            <w:pPr>
              <w:pStyle w:val="Default"/>
              <w:spacing w:before="60" w:after="60"/>
              <w:rPr>
                <w:rFonts w:ascii="Arial" w:hAnsi="Arial" w:cs="Arial"/>
              </w:rPr>
            </w:pPr>
            <w:r w:rsidRPr="00042DD0">
              <w:rPr>
                <w:rFonts w:ascii="Arial" w:hAnsi="Arial" w:cs="Arial"/>
              </w:rPr>
              <w:t>DPIPWE</w:t>
            </w:r>
          </w:p>
        </w:tc>
      </w:tr>
      <w:tr w:rsidR="00A278CB" w:rsidRPr="00042DD0" w:rsidTr="005E7C55">
        <w:trPr>
          <w:trHeight w:val="114"/>
        </w:trPr>
        <w:tc>
          <w:tcPr>
            <w:tcW w:w="9346" w:type="dxa"/>
          </w:tcPr>
          <w:p w:rsidR="00A278CB" w:rsidRPr="00042DD0" w:rsidRDefault="00A278CB" w:rsidP="00E60647">
            <w:pPr>
              <w:pStyle w:val="Default"/>
              <w:spacing w:before="60" w:after="60"/>
              <w:rPr>
                <w:rFonts w:ascii="Arial" w:hAnsi="Arial" w:cs="Arial"/>
              </w:rPr>
            </w:pPr>
            <w:r w:rsidRPr="00042DD0">
              <w:rPr>
                <w:rFonts w:ascii="Arial" w:hAnsi="Arial" w:cs="Arial"/>
              </w:rPr>
              <w:t>Hydro Tasmania Dam Safety Emergency Plan (2012)</w:t>
            </w:r>
          </w:p>
        </w:tc>
        <w:tc>
          <w:tcPr>
            <w:tcW w:w="3245" w:type="dxa"/>
          </w:tcPr>
          <w:p w:rsidR="00A278CB" w:rsidRPr="00042DD0" w:rsidRDefault="00A278CB" w:rsidP="00E60647">
            <w:pPr>
              <w:pStyle w:val="Default"/>
              <w:spacing w:before="60" w:after="60"/>
              <w:rPr>
                <w:rFonts w:ascii="Arial" w:hAnsi="Arial" w:cs="Arial"/>
              </w:rPr>
            </w:pPr>
            <w:r w:rsidRPr="00042DD0">
              <w:rPr>
                <w:rFonts w:ascii="Arial" w:hAnsi="Arial" w:cs="Arial"/>
              </w:rPr>
              <w:t>Hydro Tasmania</w:t>
            </w:r>
          </w:p>
        </w:tc>
      </w:tr>
      <w:tr w:rsidR="00A278CB" w:rsidRPr="00042DD0" w:rsidTr="005E7C55">
        <w:trPr>
          <w:trHeight w:val="114"/>
        </w:trPr>
        <w:tc>
          <w:tcPr>
            <w:tcW w:w="9346"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Ford Road Brighton [Jordan River] </w:t>
            </w:r>
          </w:p>
        </w:tc>
        <w:tc>
          <w:tcPr>
            <w:tcW w:w="3245"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Brighton Council </w:t>
            </w:r>
          </w:p>
        </w:tc>
      </w:tr>
      <w:tr w:rsidR="00A278CB" w:rsidRPr="00042DD0" w:rsidTr="005E7C55">
        <w:trPr>
          <w:trHeight w:val="114"/>
        </w:trPr>
        <w:tc>
          <w:tcPr>
            <w:tcW w:w="9346"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Lower Derwent River Flood Evacuation Plan </w:t>
            </w:r>
          </w:p>
        </w:tc>
        <w:tc>
          <w:tcPr>
            <w:tcW w:w="3245"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Derwent Valley Council </w:t>
            </w:r>
          </w:p>
        </w:tc>
      </w:tr>
      <w:tr w:rsidR="00A278CB" w:rsidRPr="00042DD0" w:rsidTr="005E7C55">
        <w:trPr>
          <w:trHeight w:val="114"/>
        </w:trPr>
        <w:tc>
          <w:tcPr>
            <w:tcW w:w="9346" w:type="dxa"/>
          </w:tcPr>
          <w:p w:rsidR="00A278CB" w:rsidRPr="00042DD0" w:rsidRDefault="00A278CB" w:rsidP="00E60647">
            <w:pPr>
              <w:pStyle w:val="Default"/>
              <w:spacing w:before="60" w:after="60"/>
              <w:rPr>
                <w:rFonts w:ascii="Arial" w:hAnsi="Arial" w:cs="Arial"/>
              </w:rPr>
            </w:pPr>
            <w:r w:rsidRPr="00042DD0">
              <w:rPr>
                <w:rFonts w:ascii="Arial" w:hAnsi="Arial" w:cs="Arial"/>
              </w:rPr>
              <w:t>Lower Forth Flood Evacuation Plan 2002</w:t>
            </w:r>
          </w:p>
        </w:tc>
        <w:tc>
          <w:tcPr>
            <w:tcW w:w="3245"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Central Coast Council </w:t>
            </w:r>
          </w:p>
        </w:tc>
      </w:tr>
      <w:tr w:rsidR="00A278CB" w:rsidRPr="00042DD0" w:rsidTr="005E7C55">
        <w:trPr>
          <w:trHeight w:val="114"/>
        </w:trPr>
        <w:tc>
          <w:tcPr>
            <w:tcW w:w="9346" w:type="dxa"/>
          </w:tcPr>
          <w:p w:rsidR="00A278CB" w:rsidRPr="00042DD0" w:rsidRDefault="00A278CB" w:rsidP="00E60647">
            <w:pPr>
              <w:pStyle w:val="Default"/>
              <w:spacing w:before="60" w:after="60"/>
              <w:rPr>
                <w:rFonts w:ascii="Arial" w:hAnsi="Arial" w:cs="Arial"/>
              </w:rPr>
            </w:pPr>
            <w:r w:rsidRPr="00042DD0">
              <w:rPr>
                <w:rFonts w:ascii="Arial" w:hAnsi="Arial" w:cs="Arial"/>
              </w:rPr>
              <w:t>Lower Forth Flood Response and Recovery Plan 2008</w:t>
            </w:r>
          </w:p>
        </w:tc>
        <w:tc>
          <w:tcPr>
            <w:tcW w:w="3245" w:type="dxa"/>
          </w:tcPr>
          <w:p w:rsidR="00A278CB" w:rsidRPr="00042DD0" w:rsidRDefault="00A278CB" w:rsidP="00E60647">
            <w:pPr>
              <w:pStyle w:val="Default"/>
              <w:spacing w:before="60" w:after="60"/>
              <w:rPr>
                <w:rFonts w:ascii="Arial" w:hAnsi="Arial" w:cs="Arial"/>
              </w:rPr>
            </w:pPr>
            <w:r w:rsidRPr="00042DD0">
              <w:rPr>
                <w:rFonts w:ascii="Arial" w:hAnsi="Arial" w:cs="Arial"/>
              </w:rPr>
              <w:t>Central Coast Council</w:t>
            </w:r>
          </w:p>
        </w:tc>
      </w:tr>
      <w:tr w:rsidR="00A278CB" w:rsidRPr="00042DD0" w:rsidTr="005E7C55">
        <w:trPr>
          <w:trHeight w:val="114"/>
        </w:trPr>
        <w:tc>
          <w:tcPr>
            <w:tcW w:w="9346" w:type="dxa"/>
          </w:tcPr>
          <w:p w:rsidR="00A278CB" w:rsidRPr="00042DD0" w:rsidRDefault="00A278CB" w:rsidP="00E60647">
            <w:pPr>
              <w:pStyle w:val="Default"/>
              <w:spacing w:before="60" w:after="60"/>
              <w:rPr>
                <w:rFonts w:ascii="Arial" w:hAnsi="Arial" w:cs="Arial"/>
              </w:rPr>
            </w:pPr>
            <w:r w:rsidRPr="00042DD0">
              <w:rPr>
                <w:rFonts w:ascii="Arial" w:hAnsi="Arial" w:cs="Arial"/>
              </w:rPr>
              <w:t>Mersey River Flood Survey 2011 [Evacuation Plan]</w:t>
            </w:r>
          </w:p>
        </w:tc>
        <w:tc>
          <w:tcPr>
            <w:tcW w:w="3245" w:type="dxa"/>
          </w:tcPr>
          <w:p w:rsidR="00A278CB" w:rsidRPr="00042DD0" w:rsidRDefault="00A278CB" w:rsidP="00E60647">
            <w:pPr>
              <w:pStyle w:val="Default"/>
              <w:spacing w:before="60" w:after="60"/>
              <w:rPr>
                <w:rFonts w:ascii="Arial" w:hAnsi="Arial" w:cs="Arial"/>
              </w:rPr>
            </w:pPr>
            <w:r w:rsidRPr="00042DD0">
              <w:rPr>
                <w:rFonts w:ascii="Arial" w:hAnsi="Arial" w:cs="Arial"/>
              </w:rPr>
              <w:t>Latrobe Council</w:t>
            </w:r>
          </w:p>
        </w:tc>
      </w:tr>
      <w:tr w:rsidR="00A278CB" w:rsidRPr="00042DD0" w:rsidTr="005E7C55">
        <w:trPr>
          <w:trHeight w:val="114"/>
        </w:trPr>
        <w:tc>
          <w:tcPr>
            <w:tcW w:w="9346"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Huon River Flood Evacuation Plan </w:t>
            </w:r>
          </w:p>
        </w:tc>
        <w:tc>
          <w:tcPr>
            <w:tcW w:w="3245"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Huon Valley Council </w:t>
            </w:r>
          </w:p>
        </w:tc>
      </w:tr>
      <w:tr w:rsidR="00A278CB" w:rsidRPr="00042DD0" w:rsidTr="005E7C55">
        <w:trPr>
          <w:trHeight w:val="114"/>
        </w:trPr>
        <w:tc>
          <w:tcPr>
            <w:tcW w:w="9346"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Hobart Rivulet Flood Action Plan </w:t>
            </w:r>
          </w:p>
        </w:tc>
        <w:tc>
          <w:tcPr>
            <w:tcW w:w="3245"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Hobart City Council </w:t>
            </w:r>
          </w:p>
        </w:tc>
      </w:tr>
      <w:tr w:rsidR="00A278CB" w:rsidRPr="00042DD0" w:rsidTr="005E7C55">
        <w:trPr>
          <w:trHeight w:val="114"/>
        </w:trPr>
        <w:tc>
          <w:tcPr>
            <w:tcW w:w="9346"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Sandy Bay Rivulet Flood Action Plan </w:t>
            </w:r>
          </w:p>
        </w:tc>
        <w:tc>
          <w:tcPr>
            <w:tcW w:w="3245"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Hobart City Council </w:t>
            </w:r>
          </w:p>
        </w:tc>
      </w:tr>
      <w:tr w:rsidR="00A278CB" w:rsidRPr="00042DD0" w:rsidTr="005E7C55">
        <w:trPr>
          <w:trHeight w:val="114"/>
        </w:trPr>
        <w:tc>
          <w:tcPr>
            <w:tcW w:w="9346"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Glenorchy CBD Evacuation Plan </w:t>
            </w:r>
          </w:p>
        </w:tc>
        <w:tc>
          <w:tcPr>
            <w:tcW w:w="3245"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Glenorchy City Council </w:t>
            </w:r>
          </w:p>
        </w:tc>
      </w:tr>
      <w:tr w:rsidR="00A278CB" w:rsidRPr="00042DD0" w:rsidTr="005E7C55">
        <w:trPr>
          <w:trHeight w:val="114"/>
        </w:trPr>
        <w:tc>
          <w:tcPr>
            <w:tcW w:w="9346"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Flood Governance Plan </w:t>
            </w:r>
          </w:p>
        </w:tc>
        <w:tc>
          <w:tcPr>
            <w:tcW w:w="3245"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Launceston City Council </w:t>
            </w:r>
          </w:p>
        </w:tc>
      </w:tr>
      <w:tr w:rsidR="00A278CB" w:rsidRPr="00042DD0" w:rsidTr="005E7C55">
        <w:trPr>
          <w:trHeight w:val="114"/>
        </w:trPr>
        <w:tc>
          <w:tcPr>
            <w:tcW w:w="9346"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Flood Warning Plan </w:t>
            </w:r>
          </w:p>
        </w:tc>
        <w:tc>
          <w:tcPr>
            <w:tcW w:w="3245"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Launceston City Council </w:t>
            </w:r>
          </w:p>
        </w:tc>
      </w:tr>
      <w:tr w:rsidR="00A278CB" w:rsidRPr="00042DD0" w:rsidTr="005E7C55">
        <w:trPr>
          <w:trHeight w:val="114"/>
        </w:trPr>
        <w:tc>
          <w:tcPr>
            <w:tcW w:w="9346"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Flood Levee Response Plan </w:t>
            </w:r>
          </w:p>
        </w:tc>
        <w:tc>
          <w:tcPr>
            <w:tcW w:w="3245"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Launceston City Council </w:t>
            </w:r>
          </w:p>
        </w:tc>
      </w:tr>
      <w:tr w:rsidR="00A278CB" w:rsidRPr="00042DD0" w:rsidTr="005E7C55">
        <w:trPr>
          <w:trHeight w:val="114"/>
        </w:trPr>
        <w:tc>
          <w:tcPr>
            <w:tcW w:w="9346"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Flood Levee Patrol Plan </w:t>
            </w:r>
          </w:p>
        </w:tc>
        <w:tc>
          <w:tcPr>
            <w:tcW w:w="3245"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Launceston City Council </w:t>
            </w:r>
          </w:p>
        </w:tc>
      </w:tr>
      <w:tr w:rsidR="00A278CB" w:rsidRPr="00042DD0" w:rsidTr="005E7C55">
        <w:trPr>
          <w:trHeight w:val="114"/>
        </w:trPr>
        <w:tc>
          <w:tcPr>
            <w:tcW w:w="9346"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Flood Levee River Gauge Reading Plan </w:t>
            </w:r>
          </w:p>
        </w:tc>
        <w:tc>
          <w:tcPr>
            <w:tcW w:w="3245"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Launceston City Council </w:t>
            </w:r>
          </w:p>
        </w:tc>
      </w:tr>
      <w:tr w:rsidR="00A278CB" w:rsidRPr="00042DD0" w:rsidTr="005E7C55">
        <w:trPr>
          <w:trHeight w:val="114"/>
        </w:trPr>
        <w:tc>
          <w:tcPr>
            <w:tcW w:w="9346"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Launceston Flood Evacuation Plan </w:t>
            </w:r>
          </w:p>
        </w:tc>
        <w:tc>
          <w:tcPr>
            <w:tcW w:w="3245"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North REMC </w:t>
            </w:r>
          </w:p>
        </w:tc>
      </w:tr>
      <w:tr w:rsidR="00A278CB" w:rsidRPr="00042DD0" w:rsidTr="005E7C55">
        <w:trPr>
          <w:trHeight w:val="114"/>
        </w:trPr>
        <w:tc>
          <w:tcPr>
            <w:tcW w:w="9346"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Longford Flood Protection Action Plan </w:t>
            </w:r>
          </w:p>
        </w:tc>
        <w:tc>
          <w:tcPr>
            <w:tcW w:w="3245" w:type="dxa"/>
          </w:tcPr>
          <w:p w:rsidR="00A278CB" w:rsidRPr="00042DD0" w:rsidRDefault="00A278CB" w:rsidP="00E60647">
            <w:pPr>
              <w:pStyle w:val="Default"/>
              <w:spacing w:before="60" w:after="60"/>
              <w:rPr>
                <w:rFonts w:ascii="Arial" w:hAnsi="Arial" w:cs="Arial"/>
              </w:rPr>
            </w:pPr>
            <w:r w:rsidRPr="00042DD0">
              <w:rPr>
                <w:rFonts w:ascii="Arial" w:hAnsi="Arial" w:cs="Arial"/>
              </w:rPr>
              <w:t xml:space="preserve">Northern Midlands Council </w:t>
            </w:r>
          </w:p>
        </w:tc>
      </w:tr>
    </w:tbl>
    <w:p w:rsidR="00A278CB" w:rsidRDefault="00A278CB" w:rsidP="00E60647">
      <w:pPr>
        <w:spacing w:before="120" w:after="120"/>
        <w:rPr>
          <w:rFonts w:ascii="Arial" w:eastAsia="Times New Roman" w:hAnsi="Arial" w:cs="Arial"/>
          <w:sz w:val="24"/>
          <w:szCs w:val="24"/>
          <w:lang w:eastAsia="en-AU"/>
        </w:rPr>
      </w:pPr>
      <w:r>
        <w:rPr>
          <w:rFonts w:ascii="Arial" w:eastAsia="Times New Roman" w:hAnsi="Arial" w:cs="Arial"/>
          <w:sz w:val="24"/>
          <w:szCs w:val="24"/>
          <w:lang w:eastAsia="en-AU"/>
        </w:rPr>
        <w:br w:type="page"/>
      </w:r>
    </w:p>
    <w:p w:rsidR="006E292B" w:rsidRPr="005E7C55" w:rsidRDefault="00A278CB" w:rsidP="006720A3">
      <w:pPr>
        <w:shd w:val="clear" w:color="auto" w:fill="FFFFFF"/>
        <w:spacing w:before="100" w:beforeAutospacing="1" w:after="100" w:afterAutospacing="1" w:line="234" w:lineRule="atLeast"/>
        <w:ind w:left="360"/>
        <w:rPr>
          <w:rFonts w:ascii="Arial" w:eastAsia="Times New Roman" w:hAnsi="Arial" w:cs="Arial"/>
          <w:sz w:val="20"/>
          <w:szCs w:val="20"/>
          <w:lang w:eastAsia="en-AU"/>
        </w:rPr>
      </w:pPr>
      <w:r>
        <w:rPr>
          <w:rFonts w:ascii="Arial" w:eastAsia="Times New Roman" w:hAnsi="Arial" w:cs="Arial"/>
          <w:sz w:val="24"/>
          <w:szCs w:val="24"/>
          <w:lang w:eastAsia="en-AU"/>
        </w:rPr>
        <w:t xml:space="preserve">Appendix </w:t>
      </w:r>
      <w:r w:rsidR="00622F7B">
        <w:rPr>
          <w:rFonts w:ascii="Arial" w:eastAsia="Times New Roman" w:hAnsi="Arial" w:cs="Arial"/>
          <w:sz w:val="24"/>
          <w:szCs w:val="24"/>
          <w:lang w:eastAsia="en-AU"/>
        </w:rPr>
        <w:t>3</w:t>
      </w:r>
      <w:r>
        <w:rPr>
          <w:rFonts w:ascii="Arial" w:eastAsia="Times New Roman" w:hAnsi="Arial" w:cs="Arial"/>
          <w:sz w:val="24"/>
          <w:szCs w:val="24"/>
          <w:lang w:eastAsia="en-AU"/>
        </w:rPr>
        <w:t xml:space="preserve">: </w:t>
      </w:r>
      <w:r w:rsidR="006E292B">
        <w:rPr>
          <w:rFonts w:ascii="Arial" w:eastAsia="Times New Roman" w:hAnsi="Arial" w:cs="Arial"/>
          <w:sz w:val="24"/>
          <w:szCs w:val="24"/>
          <w:lang w:eastAsia="en-AU"/>
        </w:rPr>
        <w:t xml:space="preserve">Summary of </w:t>
      </w:r>
      <w:r w:rsidR="0031048A">
        <w:rPr>
          <w:rFonts w:ascii="Arial" w:eastAsia="Times New Roman" w:hAnsi="Arial" w:cs="Arial"/>
          <w:sz w:val="24"/>
          <w:szCs w:val="24"/>
          <w:lang w:eastAsia="en-AU"/>
        </w:rPr>
        <w:t xml:space="preserve">grants under the National Partnership Agreement on Natural Disaster Resilience grouped by Review Terms of Reference. </w:t>
      </w:r>
    </w:p>
    <w:p w:rsidR="006E292B" w:rsidRDefault="006E292B" w:rsidP="006103C8">
      <w:pPr>
        <w:shd w:val="clear" w:color="auto" w:fill="FFFFFF"/>
        <w:spacing w:before="100" w:beforeAutospacing="1" w:after="100" w:afterAutospacing="1" w:line="234" w:lineRule="atLeast"/>
        <w:jc w:val="center"/>
        <w:rPr>
          <w:rFonts w:ascii="Arial" w:eastAsia="Times New Roman" w:hAnsi="Arial" w:cs="Arial"/>
          <w:b/>
          <w:i/>
          <w:color w:val="666666"/>
          <w:sz w:val="20"/>
          <w:szCs w:val="20"/>
          <w:lang w:eastAsia="en-AU"/>
        </w:rPr>
      </w:pPr>
      <w:r w:rsidRPr="005E7C55">
        <w:rPr>
          <w:rFonts w:ascii="Arial" w:eastAsia="Times New Roman" w:hAnsi="Arial" w:cs="Arial"/>
          <w:b/>
          <w:i/>
          <w:color w:val="666666"/>
          <w:sz w:val="20"/>
          <w:szCs w:val="20"/>
          <w:lang w:eastAsia="en-AU"/>
        </w:rPr>
        <w:t>The effectiveness of the strategies,  preparedness and plans related to managing flood risk in Tasmania that were in place prior to the June 2016 floods occurring; including existing and potential levee systems</w:t>
      </w:r>
    </w:p>
    <w:tbl>
      <w:tblPr>
        <w:tblStyle w:val="TableGrid"/>
        <w:tblW w:w="0" w:type="auto"/>
        <w:tblLook w:val="04A0" w:firstRow="1" w:lastRow="0" w:firstColumn="1" w:lastColumn="0" w:noHBand="0" w:noVBand="1"/>
      </w:tblPr>
      <w:tblGrid>
        <w:gridCol w:w="1186"/>
        <w:gridCol w:w="1987"/>
        <w:gridCol w:w="2720"/>
        <w:gridCol w:w="5411"/>
        <w:gridCol w:w="1429"/>
        <w:gridCol w:w="1215"/>
      </w:tblGrid>
      <w:tr w:rsidR="006103C8" w:rsidRPr="006103C8" w:rsidTr="00DF06C6">
        <w:tc>
          <w:tcPr>
            <w:tcW w:w="1668" w:type="dxa"/>
          </w:tcPr>
          <w:p w:rsidR="006103C8" w:rsidRPr="006103C8" w:rsidRDefault="006103C8" w:rsidP="008404C8">
            <w:pPr>
              <w:spacing w:before="120" w:after="120" w:line="234" w:lineRule="atLeast"/>
              <w:jc w:val="center"/>
              <w:rPr>
                <w:rFonts w:ascii="Arial" w:hAnsi="Arial" w:cs="Arial"/>
                <w:b/>
                <w:color w:val="666666"/>
              </w:rPr>
            </w:pPr>
            <w:r w:rsidRPr="006103C8">
              <w:rPr>
                <w:rFonts w:ascii="Arial" w:hAnsi="Arial" w:cs="Arial"/>
                <w:b/>
                <w:color w:val="666666"/>
              </w:rPr>
              <w:t>Fund Year</w:t>
            </w:r>
          </w:p>
        </w:tc>
        <w:tc>
          <w:tcPr>
            <w:tcW w:w="2551" w:type="dxa"/>
          </w:tcPr>
          <w:p w:rsidR="006103C8" w:rsidRPr="006103C8" w:rsidRDefault="006103C8" w:rsidP="008404C8">
            <w:pPr>
              <w:spacing w:before="120" w:after="120" w:line="234" w:lineRule="atLeast"/>
              <w:jc w:val="center"/>
              <w:rPr>
                <w:rFonts w:ascii="Arial" w:hAnsi="Arial" w:cs="Arial"/>
                <w:b/>
                <w:color w:val="666666"/>
              </w:rPr>
            </w:pPr>
            <w:r w:rsidRPr="006103C8">
              <w:rPr>
                <w:rFonts w:ascii="Arial" w:hAnsi="Arial" w:cs="Arial"/>
                <w:b/>
                <w:color w:val="666666"/>
              </w:rPr>
              <w:t>Organisation</w:t>
            </w:r>
          </w:p>
        </w:tc>
        <w:tc>
          <w:tcPr>
            <w:tcW w:w="4111" w:type="dxa"/>
          </w:tcPr>
          <w:p w:rsidR="006103C8" w:rsidRPr="006103C8" w:rsidRDefault="006103C8" w:rsidP="008404C8">
            <w:pPr>
              <w:spacing w:before="120" w:after="120" w:line="234" w:lineRule="atLeast"/>
              <w:jc w:val="center"/>
              <w:rPr>
                <w:rFonts w:ascii="Arial" w:hAnsi="Arial" w:cs="Arial"/>
                <w:b/>
                <w:color w:val="666666"/>
              </w:rPr>
            </w:pPr>
            <w:r w:rsidRPr="006103C8">
              <w:rPr>
                <w:rFonts w:ascii="Arial" w:hAnsi="Arial" w:cs="Arial"/>
                <w:b/>
                <w:color w:val="666666"/>
              </w:rPr>
              <w:t xml:space="preserve">Project Name </w:t>
            </w:r>
          </w:p>
        </w:tc>
        <w:tc>
          <w:tcPr>
            <w:tcW w:w="9442" w:type="dxa"/>
          </w:tcPr>
          <w:p w:rsidR="006103C8" w:rsidRPr="006103C8" w:rsidRDefault="006103C8" w:rsidP="008404C8">
            <w:pPr>
              <w:spacing w:before="120" w:after="120" w:line="234" w:lineRule="atLeast"/>
              <w:jc w:val="center"/>
              <w:rPr>
                <w:rFonts w:ascii="Arial" w:hAnsi="Arial" w:cs="Arial"/>
                <w:b/>
                <w:color w:val="666666"/>
              </w:rPr>
            </w:pPr>
            <w:r w:rsidRPr="006103C8">
              <w:rPr>
                <w:rFonts w:ascii="Arial" w:hAnsi="Arial" w:cs="Arial"/>
                <w:b/>
                <w:color w:val="666666"/>
              </w:rPr>
              <w:t xml:space="preserve">Project Summary </w:t>
            </w:r>
          </w:p>
        </w:tc>
        <w:tc>
          <w:tcPr>
            <w:tcW w:w="1826" w:type="dxa"/>
          </w:tcPr>
          <w:p w:rsidR="006103C8" w:rsidRPr="006103C8" w:rsidRDefault="006103C8" w:rsidP="008404C8">
            <w:pPr>
              <w:spacing w:before="120" w:after="120" w:line="234" w:lineRule="atLeast"/>
              <w:jc w:val="center"/>
              <w:rPr>
                <w:rFonts w:ascii="Arial" w:hAnsi="Arial" w:cs="Arial"/>
                <w:b/>
                <w:color w:val="666666"/>
              </w:rPr>
            </w:pPr>
            <w:r w:rsidRPr="006103C8">
              <w:rPr>
                <w:rFonts w:ascii="Arial" w:hAnsi="Arial" w:cs="Arial"/>
                <w:b/>
                <w:color w:val="666666"/>
              </w:rPr>
              <w:t xml:space="preserve">Funding </w:t>
            </w:r>
          </w:p>
        </w:tc>
        <w:tc>
          <w:tcPr>
            <w:tcW w:w="1552" w:type="dxa"/>
          </w:tcPr>
          <w:p w:rsidR="006103C8" w:rsidRPr="006103C8" w:rsidRDefault="006103C8" w:rsidP="008404C8">
            <w:pPr>
              <w:spacing w:before="120" w:after="120" w:line="234" w:lineRule="atLeast"/>
              <w:jc w:val="center"/>
              <w:rPr>
                <w:rFonts w:ascii="Arial" w:hAnsi="Arial" w:cs="Arial"/>
                <w:b/>
                <w:color w:val="666666"/>
              </w:rPr>
            </w:pPr>
            <w:r w:rsidRPr="006103C8">
              <w:rPr>
                <w:rFonts w:ascii="Arial" w:hAnsi="Arial" w:cs="Arial"/>
                <w:b/>
                <w:color w:val="666666"/>
              </w:rPr>
              <w:t>Region</w:t>
            </w:r>
          </w:p>
        </w:tc>
      </w:tr>
      <w:tr w:rsidR="006103C8" w:rsidRPr="006103C8" w:rsidTr="00DF06C6">
        <w:tc>
          <w:tcPr>
            <w:tcW w:w="1668"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2012-13</w:t>
            </w:r>
          </w:p>
        </w:tc>
        <w:tc>
          <w:tcPr>
            <w:tcW w:w="2551"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Hobart City Council</w:t>
            </w:r>
          </w:p>
        </w:tc>
        <w:tc>
          <w:tcPr>
            <w:tcW w:w="4111"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Major Rivulets Flood Map Recalibration and Climate Change Upgrade</w:t>
            </w:r>
          </w:p>
        </w:tc>
        <w:tc>
          <w:tcPr>
            <w:tcW w:w="9442"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Major Rivulets Flood Map Recalibration and Climate Change Upgrade - A recalibration and climate change upgrades on the existing flood maps for two major rivulets.</w:t>
            </w:r>
          </w:p>
        </w:tc>
        <w:tc>
          <w:tcPr>
            <w:tcW w:w="1826"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$45,000</w:t>
            </w:r>
          </w:p>
          <w:p w:rsidR="006103C8" w:rsidRPr="006103C8" w:rsidRDefault="006103C8" w:rsidP="008404C8">
            <w:pPr>
              <w:spacing w:before="120" w:after="120" w:line="234" w:lineRule="atLeast"/>
              <w:jc w:val="center"/>
              <w:rPr>
                <w:rFonts w:ascii="Arial" w:hAnsi="Arial" w:cs="Arial"/>
                <w:color w:val="666666"/>
              </w:rPr>
            </w:pPr>
          </w:p>
        </w:tc>
        <w:tc>
          <w:tcPr>
            <w:tcW w:w="1552"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South</w:t>
            </w:r>
          </w:p>
        </w:tc>
      </w:tr>
      <w:tr w:rsidR="006103C8" w:rsidRPr="006103C8" w:rsidTr="00DF06C6">
        <w:tc>
          <w:tcPr>
            <w:tcW w:w="1668"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2014-15</w:t>
            </w:r>
          </w:p>
        </w:tc>
        <w:tc>
          <w:tcPr>
            <w:tcW w:w="2551"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Hobart City Council</w:t>
            </w:r>
          </w:p>
        </w:tc>
        <w:tc>
          <w:tcPr>
            <w:tcW w:w="4111"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Major Rivulets Flood Map Recalibration and Climate Change Upgrade</w:t>
            </w:r>
          </w:p>
        </w:tc>
        <w:tc>
          <w:tcPr>
            <w:tcW w:w="9442"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(granted funding in 2012-13 round)</w:t>
            </w:r>
          </w:p>
        </w:tc>
        <w:tc>
          <w:tcPr>
            <w:tcW w:w="1826"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$45,000 (year 2)</w:t>
            </w:r>
          </w:p>
        </w:tc>
        <w:tc>
          <w:tcPr>
            <w:tcW w:w="1552"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South</w:t>
            </w:r>
          </w:p>
        </w:tc>
      </w:tr>
      <w:tr w:rsidR="006103C8" w:rsidRPr="006103C8" w:rsidTr="00DF06C6">
        <w:tc>
          <w:tcPr>
            <w:tcW w:w="1668"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2014-15</w:t>
            </w:r>
          </w:p>
        </w:tc>
        <w:tc>
          <w:tcPr>
            <w:tcW w:w="2551"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Kingborough Council</w:t>
            </w:r>
          </w:p>
        </w:tc>
        <w:tc>
          <w:tcPr>
            <w:tcW w:w="4111"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Kingborough is Getting Ready</w:t>
            </w:r>
          </w:p>
        </w:tc>
        <w:tc>
          <w:tcPr>
            <w:tcW w:w="9442"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The project will: 1. Assist to develop the capacity of residents and businesses to respond and recover from disasters; 2. Undertake a detailed capacity and communication as</w:t>
            </w:r>
            <w:r w:rsidR="0025732C">
              <w:rPr>
                <w:rFonts w:ascii="Arial" w:hAnsi="Arial" w:cs="Arial"/>
                <w:color w:val="666666"/>
              </w:rPr>
              <w:t xml:space="preserve">sessment for Bruny Island; and </w:t>
            </w:r>
            <w:r w:rsidRPr="006103C8">
              <w:rPr>
                <w:rFonts w:ascii="Arial" w:hAnsi="Arial" w:cs="Arial"/>
                <w:color w:val="666666"/>
              </w:rPr>
              <w:t>3. Create land use planning solutions for hazard management for Kingston Beach to explore limits to planning for resilience.</w:t>
            </w:r>
          </w:p>
        </w:tc>
        <w:tc>
          <w:tcPr>
            <w:tcW w:w="1826"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$127,062</w:t>
            </w:r>
          </w:p>
        </w:tc>
        <w:tc>
          <w:tcPr>
            <w:tcW w:w="1552"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South</w:t>
            </w:r>
          </w:p>
        </w:tc>
      </w:tr>
      <w:tr w:rsidR="006103C8" w:rsidRPr="006103C8" w:rsidTr="00DF06C6">
        <w:tc>
          <w:tcPr>
            <w:tcW w:w="1668" w:type="dxa"/>
          </w:tcPr>
          <w:p w:rsidR="006103C8" w:rsidRPr="006103C8" w:rsidRDefault="006103C8" w:rsidP="008404C8">
            <w:pPr>
              <w:spacing w:before="120" w:after="120" w:line="234" w:lineRule="atLeast"/>
              <w:jc w:val="center"/>
              <w:rPr>
                <w:rFonts w:ascii="Arial" w:hAnsi="Arial" w:cs="Arial"/>
                <w:b/>
                <w:color w:val="666666"/>
              </w:rPr>
            </w:pPr>
            <w:r w:rsidRPr="006103C8">
              <w:rPr>
                <w:rFonts w:ascii="Arial" w:hAnsi="Arial" w:cs="Arial"/>
                <w:color w:val="666666"/>
              </w:rPr>
              <w:t>2014-15</w:t>
            </w:r>
          </w:p>
        </w:tc>
        <w:tc>
          <w:tcPr>
            <w:tcW w:w="2551"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Northern Midlands Council </w:t>
            </w:r>
          </w:p>
        </w:tc>
        <w:tc>
          <w:tcPr>
            <w:tcW w:w="4111"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Longford – Hadspen flood risk study</w:t>
            </w:r>
          </w:p>
        </w:tc>
        <w:tc>
          <w:tcPr>
            <w:tcW w:w="9442"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The Project will: 1. Conduct a hydrological review that will estimate new flood frequency estimates for gauging stations on the South Esk, Meander, Macquarie and Back Creek including c</w:t>
            </w:r>
            <w:r w:rsidR="0025732C">
              <w:rPr>
                <w:rFonts w:ascii="Arial" w:hAnsi="Arial" w:cs="Arial"/>
                <w:color w:val="666666"/>
              </w:rPr>
              <w:t xml:space="preserve">oncurrent flow estimation; and </w:t>
            </w:r>
            <w:r w:rsidRPr="006103C8">
              <w:rPr>
                <w:rFonts w:ascii="Arial" w:hAnsi="Arial" w:cs="Arial"/>
                <w:color w:val="666666"/>
              </w:rPr>
              <w:t>2. Undertake 2D hydrodynamic modelling of the Longford Hadspen basin to convert hydrological hydrograph inputs into flood levels, extents and flood maps.  A number of components of the Project will be used as inputs into emergency management plans of both Northern Midland Council and Meander Valley Council</w:t>
            </w:r>
          </w:p>
        </w:tc>
        <w:tc>
          <w:tcPr>
            <w:tcW w:w="1826"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$75,000</w:t>
            </w:r>
          </w:p>
        </w:tc>
        <w:tc>
          <w:tcPr>
            <w:tcW w:w="1552"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North</w:t>
            </w:r>
          </w:p>
        </w:tc>
      </w:tr>
      <w:tr w:rsidR="006103C8" w:rsidRPr="006103C8" w:rsidTr="00DF06C6">
        <w:tc>
          <w:tcPr>
            <w:tcW w:w="1668" w:type="dxa"/>
          </w:tcPr>
          <w:p w:rsidR="006103C8" w:rsidRPr="006103C8" w:rsidRDefault="006103C8" w:rsidP="008404C8">
            <w:pPr>
              <w:spacing w:before="120" w:after="120" w:line="234" w:lineRule="atLeast"/>
              <w:jc w:val="center"/>
              <w:rPr>
                <w:rFonts w:ascii="Arial" w:hAnsi="Arial" w:cs="Arial"/>
                <w:b/>
                <w:color w:val="666666"/>
              </w:rPr>
            </w:pPr>
            <w:r w:rsidRPr="006103C8">
              <w:rPr>
                <w:rFonts w:ascii="Arial" w:hAnsi="Arial" w:cs="Arial"/>
                <w:color w:val="666666"/>
              </w:rPr>
              <w:t>2014-15</w:t>
            </w:r>
          </w:p>
        </w:tc>
        <w:tc>
          <w:tcPr>
            <w:tcW w:w="2551"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University of Tasmania</w:t>
            </w:r>
          </w:p>
        </w:tc>
        <w:tc>
          <w:tcPr>
            <w:tcW w:w="4111"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Development of Floodplain Risk Assessment Process for Tasmania</w:t>
            </w:r>
          </w:p>
        </w:tc>
        <w:tc>
          <w:tcPr>
            <w:tcW w:w="9442"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The Project will develop a methodological process for the assessment of floodplain risks in Tasmania.  The proposed process will be consistent with the Australian Emergency Handbook 7 and the National Emergency Risk Assessment Guidelines.  The process will be demonstrated through four case studies representing a range of diverse geographical contexts within Tasmania and trialled to produce assessment of existing, future and residual risks for the four case study areas.  The outputs from the assessments will be able to be integrated into all-hazards municipal level risk assessments and associated emergency risk management process</w:t>
            </w:r>
          </w:p>
        </w:tc>
        <w:tc>
          <w:tcPr>
            <w:tcW w:w="1826"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$94,244</w:t>
            </w:r>
          </w:p>
        </w:tc>
        <w:tc>
          <w:tcPr>
            <w:tcW w:w="1552"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State</w:t>
            </w:r>
          </w:p>
        </w:tc>
      </w:tr>
      <w:tr w:rsidR="006103C8" w:rsidRPr="006103C8" w:rsidTr="00DF06C6">
        <w:tc>
          <w:tcPr>
            <w:tcW w:w="1668" w:type="dxa"/>
          </w:tcPr>
          <w:p w:rsidR="006103C8" w:rsidRPr="006103C8" w:rsidRDefault="006103C8" w:rsidP="008404C8">
            <w:pPr>
              <w:spacing w:before="120" w:after="120" w:line="234" w:lineRule="atLeast"/>
              <w:jc w:val="center"/>
              <w:rPr>
                <w:rFonts w:ascii="Arial" w:hAnsi="Arial" w:cs="Arial"/>
                <w:b/>
                <w:color w:val="666666"/>
              </w:rPr>
            </w:pPr>
            <w:r w:rsidRPr="006103C8">
              <w:rPr>
                <w:rFonts w:ascii="Arial" w:hAnsi="Arial" w:cs="Arial"/>
                <w:color w:val="666666"/>
              </w:rPr>
              <w:t>2014-15</w:t>
            </w:r>
          </w:p>
        </w:tc>
        <w:tc>
          <w:tcPr>
            <w:tcW w:w="2551" w:type="dxa"/>
          </w:tcPr>
          <w:p w:rsidR="006103C8" w:rsidRPr="006103C8" w:rsidRDefault="006103C8" w:rsidP="008404C8">
            <w:pPr>
              <w:spacing w:before="120" w:after="120" w:line="234" w:lineRule="atLeast"/>
              <w:jc w:val="center"/>
              <w:rPr>
                <w:rFonts w:ascii="Arial" w:hAnsi="Arial" w:cs="Arial"/>
                <w:b/>
                <w:color w:val="666666"/>
              </w:rPr>
            </w:pPr>
            <w:r w:rsidRPr="006103C8">
              <w:rPr>
                <w:rFonts w:ascii="Arial" w:hAnsi="Arial" w:cs="Arial"/>
                <w:color w:val="666666"/>
              </w:rPr>
              <w:t>University of Tasmania</w:t>
            </w:r>
          </w:p>
        </w:tc>
        <w:tc>
          <w:tcPr>
            <w:tcW w:w="4111"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Natural Disaster Risk Assessment for Tasmania</w:t>
            </w:r>
          </w:p>
        </w:tc>
        <w:tc>
          <w:tcPr>
            <w:tcW w:w="9442"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 xml:space="preserve">The Project will provide Tasmania with a revised state-wide natural disaster risk assessment in line with the new National Emergency Risk Assessment Guidelines.  </w:t>
            </w:r>
          </w:p>
        </w:tc>
        <w:tc>
          <w:tcPr>
            <w:tcW w:w="1826"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$111,000</w:t>
            </w:r>
          </w:p>
        </w:tc>
        <w:tc>
          <w:tcPr>
            <w:tcW w:w="1552"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State</w:t>
            </w:r>
          </w:p>
        </w:tc>
      </w:tr>
      <w:tr w:rsidR="006103C8" w:rsidRPr="006103C8" w:rsidTr="00DF06C6">
        <w:tc>
          <w:tcPr>
            <w:tcW w:w="1668"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2014-15</w:t>
            </w:r>
          </w:p>
        </w:tc>
        <w:tc>
          <w:tcPr>
            <w:tcW w:w="2551"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Volunteering Tasmania</w:t>
            </w:r>
          </w:p>
        </w:tc>
        <w:tc>
          <w:tcPr>
            <w:tcW w:w="4111"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Building Natural Disaster Resilience through Volunteers</w:t>
            </w:r>
          </w:p>
        </w:tc>
        <w:tc>
          <w:tcPr>
            <w:tcW w:w="9442"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 xml:space="preserve">The Project will focus on recruiting and managing spontaneous volunteers in an emergency through the implementation of the Emergency Volunteering CREW (Community Response for Extreme Weather) service.   </w:t>
            </w:r>
          </w:p>
        </w:tc>
        <w:tc>
          <w:tcPr>
            <w:tcW w:w="1826"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$98,600</w:t>
            </w:r>
          </w:p>
        </w:tc>
        <w:tc>
          <w:tcPr>
            <w:tcW w:w="1552"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State</w:t>
            </w:r>
          </w:p>
        </w:tc>
      </w:tr>
      <w:tr w:rsidR="006103C8" w:rsidRPr="006103C8" w:rsidTr="00DF06C6">
        <w:tc>
          <w:tcPr>
            <w:tcW w:w="1668"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2012-13</w:t>
            </w:r>
          </w:p>
        </w:tc>
        <w:tc>
          <w:tcPr>
            <w:tcW w:w="2551" w:type="dxa"/>
          </w:tcPr>
          <w:p w:rsidR="006103C8" w:rsidRPr="006103C8" w:rsidRDefault="006103C8" w:rsidP="008404C8">
            <w:pPr>
              <w:spacing w:before="120" w:after="120" w:line="234" w:lineRule="atLeast"/>
              <w:jc w:val="center"/>
              <w:rPr>
                <w:rFonts w:ascii="Arial" w:hAnsi="Arial" w:cs="Arial"/>
                <w:color w:val="666666"/>
              </w:rPr>
            </w:pPr>
            <w:r>
              <w:rPr>
                <w:rFonts w:ascii="Arial" w:hAnsi="Arial" w:cs="Arial"/>
                <w:color w:val="666666"/>
              </w:rPr>
              <w:t>State Emergency Service</w:t>
            </w:r>
          </w:p>
        </w:tc>
        <w:tc>
          <w:tcPr>
            <w:tcW w:w="4111"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New Norfolk SES training and operational; facilities upgrade</w:t>
            </w:r>
          </w:p>
          <w:p w:rsidR="006103C8" w:rsidRPr="006103C8" w:rsidRDefault="006103C8" w:rsidP="008404C8">
            <w:pPr>
              <w:spacing w:before="120" w:after="120" w:line="234" w:lineRule="atLeast"/>
              <w:jc w:val="center"/>
              <w:rPr>
                <w:rFonts w:ascii="Arial" w:hAnsi="Arial" w:cs="Arial"/>
                <w:color w:val="666666"/>
              </w:rPr>
            </w:pPr>
          </w:p>
        </w:tc>
        <w:tc>
          <w:tcPr>
            <w:tcW w:w="9442"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 xml:space="preserve">The Derwent Valley SES provides an invaluable Road Crash Rescue, Storm and Flood response to their local community however the current unit building facility is aging and run-down. To ensure the appropriate people are recruited to the unit, and then after considerable training are retained, a full refurbishment of the facility, including training areas, is required. </w:t>
            </w:r>
          </w:p>
          <w:p w:rsidR="006103C8" w:rsidRPr="006103C8" w:rsidRDefault="006103C8" w:rsidP="008404C8">
            <w:pPr>
              <w:spacing w:before="120" w:after="120" w:line="234" w:lineRule="atLeast"/>
              <w:jc w:val="center"/>
              <w:rPr>
                <w:rFonts w:ascii="Arial" w:hAnsi="Arial" w:cs="Arial"/>
                <w:color w:val="666666"/>
              </w:rPr>
            </w:pPr>
          </w:p>
        </w:tc>
        <w:tc>
          <w:tcPr>
            <w:tcW w:w="1826"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$15,000</w:t>
            </w:r>
          </w:p>
          <w:p w:rsidR="006103C8" w:rsidRPr="006103C8" w:rsidRDefault="006103C8" w:rsidP="008404C8">
            <w:pPr>
              <w:spacing w:before="120" w:after="120" w:line="234" w:lineRule="atLeast"/>
              <w:jc w:val="center"/>
              <w:rPr>
                <w:rFonts w:ascii="Arial" w:hAnsi="Arial" w:cs="Arial"/>
                <w:color w:val="666666"/>
              </w:rPr>
            </w:pPr>
          </w:p>
        </w:tc>
        <w:tc>
          <w:tcPr>
            <w:tcW w:w="1552"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New Norfolk</w:t>
            </w:r>
          </w:p>
          <w:p w:rsidR="006103C8" w:rsidRPr="006103C8" w:rsidRDefault="006103C8" w:rsidP="008404C8">
            <w:pPr>
              <w:spacing w:before="120" w:after="120" w:line="234" w:lineRule="atLeast"/>
              <w:jc w:val="center"/>
              <w:rPr>
                <w:rFonts w:ascii="Arial" w:hAnsi="Arial" w:cs="Arial"/>
                <w:color w:val="666666"/>
              </w:rPr>
            </w:pPr>
          </w:p>
        </w:tc>
      </w:tr>
    </w:tbl>
    <w:p w:rsidR="006103C8" w:rsidRPr="006103C8" w:rsidRDefault="006103C8" w:rsidP="008404C8">
      <w:pPr>
        <w:spacing w:before="120" w:after="120"/>
        <w:rPr>
          <w:rFonts w:ascii="Arial" w:hAnsi="Arial" w:cs="Arial"/>
          <w:sz w:val="20"/>
          <w:szCs w:val="20"/>
        </w:rPr>
      </w:pPr>
      <w:r w:rsidRPr="006103C8">
        <w:rPr>
          <w:rFonts w:ascii="Arial" w:hAnsi="Arial" w:cs="Arial"/>
          <w:sz w:val="20"/>
          <w:szCs w:val="20"/>
        </w:rPr>
        <w:br w:type="page"/>
      </w:r>
    </w:p>
    <w:tbl>
      <w:tblPr>
        <w:tblStyle w:val="TableGrid"/>
        <w:tblW w:w="0" w:type="auto"/>
        <w:tblLook w:val="04A0" w:firstRow="1" w:lastRow="0" w:firstColumn="1" w:lastColumn="0" w:noHBand="0" w:noVBand="1"/>
      </w:tblPr>
      <w:tblGrid>
        <w:gridCol w:w="1169"/>
        <w:gridCol w:w="1931"/>
        <w:gridCol w:w="2662"/>
        <w:gridCol w:w="5432"/>
        <w:gridCol w:w="1569"/>
        <w:gridCol w:w="1185"/>
      </w:tblGrid>
      <w:tr w:rsidR="00E60647" w:rsidRPr="006103C8" w:rsidTr="00E60647">
        <w:tc>
          <w:tcPr>
            <w:tcW w:w="1169"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2012-13</w:t>
            </w:r>
          </w:p>
        </w:tc>
        <w:tc>
          <w:tcPr>
            <w:tcW w:w="1931"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Department of Police and Emergency Management</w:t>
            </w:r>
          </w:p>
        </w:tc>
        <w:tc>
          <w:tcPr>
            <w:tcW w:w="2662"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Emergency Services Volunteer Recruitment Campaign</w:t>
            </w:r>
          </w:p>
          <w:p w:rsidR="006103C8" w:rsidRPr="006103C8" w:rsidRDefault="006103C8" w:rsidP="008404C8">
            <w:pPr>
              <w:spacing w:before="120" w:after="120" w:line="234" w:lineRule="atLeast"/>
              <w:jc w:val="center"/>
              <w:rPr>
                <w:rFonts w:ascii="Arial" w:hAnsi="Arial" w:cs="Arial"/>
                <w:color w:val="666666"/>
              </w:rPr>
            </w:pPr>
          </w:p>
        </w:tc>
        <w:tc>
          <w:tcPr>
            <w:tcW w:w="5432"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 xml:space="preserve">While spontaneous volunteerism is on the rise, most frontline emergency service agencies are unable to provide the required training while managing the initial response to a disaster.  The high level of public interest in people volunteering their services immediately after the announcement of a major disaster risks a significant backlash from people who's volunteering expectations cannot be met at the time.  To counteract this, and raise public awareness of the difficulties with spontaneous volunteering, the Emergency Services Volunteer Working group seek to develop a comprehensive recruitment campaign entitled. "Don't Wait for Disaster to Happen - join up and learn valuable skills now".  </w:t>
            </w:r>
          </w:p>
          <w:p w:rsidR="006103C8" w:rsidRPr="006103C8" w:rsidRDefault="006103C8" w:rsidP="008404C8">
            <w:pPr>
              <w:spacing w:before="120" w:after="120" w:line="234" w:lineRule="atLeast"/>
              <w:jc w:val="center"/>
              <w:rPr>
                <w:rFonts w:ascii="Arial" w:hAnsi="Arial" w:cs="Arial"/>
                <w:color w:val="666666"/>
              </w:rPr>
            </w:pPr>
          </w:p>
        </w:tc>
        <w:tc>
          <w:tcPr>
            <w:tcW w:w="1569"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$49,350</w:t>
            </w:r>
          </w:p>
          <w:p w:rsidR="006103C8" w:rsidRPr="006103C8" w:rsidRDefault="006103C8" w:rsidP="008404C8">
            <w:pPr>
              <w:spacing w:before="120" w:after="120" w:line="234" w:lineRule="atLeast"/>
              <w:jc w:val="center"/>
              <w:rPr>
                <w:rFonts w:ascii="Arial" w:hAnsi="Arial" w:cs="Arial"/>
                <w:color w:val="666666"/>
              </w:rPr>
            </w:pPr>
          </w:p>
        </w:tc>
        <w:tc>
          <w:tcPr>
            <w:tcW w:w="1185"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State</w:t>
            </w:r>
          </w:p>
        </w:tc>
      </w:tr>
      <w:tr w:rsidR="00E60647" w:rsidRPr="006103C8" w:rsidTr="00E60647">
        <w:tc>
          <w:tcPr>
            <w:tcW w:w="1169"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2012-13</w:t>
            </w:r>
          </w:p>
        </w:tc>
        <w:tc>
          <w:tcPr>
            <w:tcW w:w="1931"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Kentish Council</w:t>
            </w:r>
          </w:p>
          <w:p w:rsidR="006103C8" w:rsidRPr="006103C8" w:rsidRDefault="006103C8" w:rsidP="008404C8">
            <w:pPr>
              <w:spacing w:before="120" w:after="120" w:line="234" w:lineRule="atLeast"/>
              <w:jc w:val="center"/>
              <w:rPr>
                <w:rFonts w:ascii="Arial" w:hAnsi="Arial" w:cs="Arial"/>
                <w:color w:val="666666"/>
              </w:rPr>
            </w:pPr>
          </w:p>
        </w:tc>
        <w:tc>
          <w:tcPr>
            <w:tcW w:w="2662"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 xml:space="preserve">Railton Flood Mitigation Survey </w:t>
            </w:r>
          </w:p>
          <w:p w:rsidR="006103C8" w:rsidRPr="006103C8" w:rsidRDefault="006103C8" w:rsidP="008404C8">
            <w:pPr>
              <w:spacing w:before="120" w:after="120" w:line="234" w:lineRule="atLeast"/>
              <w:jc w:val="center"/>
              <w:rPr>
                <w:rFonts w:ascii="Arial" w:hAnsi="Arial" w:cs="Arial"/>
                <w:color w:val="666666"/>
              </w:rPr>
            </w:pPr>
          </w:p>
        </w:tc>
        <w:tc>
          <w:tcPr>
            <w:tcW w:w="5432"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 xml:space="preserve">Railton Flood Mitigation Survey </w:t>
            </w:r>
          </w:p>
          <w:p w:rsidR="006103C8" w:rsidRPr="006103C8" w:rsidRDefault="006103C8" w:rsidP="008404C8">
            <w:pPr>
              <w:spacing w:before="120" w:after="120" w:line="234" w:lineRule="atLeast"/>
              <w:jc w:val="center"/>
              <w:rPr>
                <w:rFonts w:ascii="Arial" w:hAnsi="Arial" w:cs="Arial"/>
                <w:color w:val="666666"/>
              </w:rPr>
            </w:pPr>
          </w:p>
        </w:tc>
        <w:tc>
          <w:tcPr>
            <w:tcW w:w="1569"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$72,891</w:t>
            </w:r>
          </w:p>
          <w:p w:rsidR="006103C8" w:rsidRPr="006103C8" w:rsidRDefault="006103C8" w:rsidP="008404C8">
            <w:pPr>
              <w:spacing w:before="120" w:after="120" w:line="234" w:lineRule="atLeast"/>
              <w:jc w:val="center"/>
              <w:rPr>
                <w:rFonts w:ascii="Arial" w:hAnsi="Arial" w:cs="Arial"/>
                <w:color w:val="666666"/>
              </w:rPr>
            </w:pPr>
          </w:p>
        </w:tc>
        <w:tc>
          <w:tcPr>
            <w:tcW w:w="1185"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Nth West</w:t>
            </w:r>
          </w:p>
        </w:tc>
      </w:tr>
      <w:tr w:rsidR="00E60647" w:rsidRPr="006103C8" w:rsidTr="00E60647">
        <w:tc>
          <w:tcPr>
            <w:tcW w:w="1169"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2012-13</w:t>
            </w:r>
          </w:p>
        </w:tc>
        <w:tc>
          <w:tcPr>
            <w:tcW w:w="1931"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Burnie City Council</w:t>
            </w:r>
          </w:p>
          <w:p w:rsidR="006103C8" w:rsidRPr="006103C8" w:rsidRDefault="006103C8" w:rsidP="008404C8">
            <w:pPr>
              <w:spacing w:before="120" w:after="120" w:line="234" w:lineRule="atLeast"/>
              <w:jc w:val="center"/>
              <w:rPr>
                <w:rFonts w:ascii="Arial" w:hAnsi="Arial" w:cs="Arial"/>
                <w:color w:val="666666"/>
              </w:rPr>
            </w:pPr>
          </w:p>
        </w:tc>
        <w:tc>
          <w:tcPr>
            <w:tcW w:w="2662" w:type="dxa"/>
          </w:tcPr>
          <w:p w:rsidR="006103C8" w:rsidRPr="006103C8" w:rsidRDefault="008404C8" w:rsidP="008404C8">
            <w:pPr>
              <w:spacing w:before="120" w:after="120" w:line="234" w:lineRule="atLeast"/>
              <w:jc w:val="center"/>
              <w:rPr>
                <w:rFonts w:ascii="Arial" w:hAnsi="Arial" w:cs="Arial"/>
                <w:color w:val="666666"/>
              </w:rPr>
            </w:pPr>
            <w:r w:rsidRPr="006103C8">
              <w:rPr>
                <w:rFonts w:ascii="Arial" w:hAnsi="Arial" w:cs="Arial"/>
                <w:color w:val="666666"/>
              </w:rPr>
              <w:t>Burnie Municipality Emergency Management Risks Review/Assessment</w:t>
            </w:r>
          </w:p>
        </w:tc>
        <w:tc>
          <w:tcPr>
            <w:tcW w:w="5432"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A review of Burnie's emergency risks identified in the Burnie Emergency Management Plan in accordance with NERAG</w:t>
            </w:r>
          </w:p>
          <w:p w:rsidR="006103C8" w:rsidRPr="006103C8" w:rsidRDefault="006103C8" w:rsidP="008404C8">
            <w:pPr>
              <w:spacing w:before="120" w:after="120" w:line="234" w:lineRule="atLeast"/>
              <w:jc w:val="center"/>
              <w:rPr>
                <w:rFonts w:ascii="Arial" w:hAnsi="Arial" w:cs="Arial"/>
                <w:color w:val="666666"/>
              </w:rPr>
            </w:pPr>
          </w:p>
        </w:tc>
        <w:tc>
          <w:tcPr>
            <w:tcW w:w="1569"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$10,000</w:t>
            </w:r>
          </w:p>
        </w:tc>
        <w:tc>
          <w:tcPr>
            <w:tcW w:w="1185"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Nth West</w:t>
            </w:r>
          </w:p>
        </w:tc>
      </w:tr>
      <w:tr w:rsidR="00E60647" w:rsidRPr="006103C8" w:rsidTr="00E60647">
        <w:tc>
          <w:tcPr>
            <w:tcW w:w="1169"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2012-13</w:t>
            </w:r>
          </w:p>
        </w:tc>
        <w:tc>
          <w:tcPr>
            <w:tcW w:w="1931"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Department of Premier and Cabinet</w:t>
            </w:r>
          </w:p>
          <w:p w:rsidR="006103C8" w:rsidRPr="006103C8" w:rsidRDefault="006103C8" w:rsidP="008404C8">
            <w:pPr>
              <w:spacing w:before="120" w:after="120" w:line="234" w:lineRule="atLeast"/>
              <w:jc w:val="center"/>
              <w:rPr>
                <w:rFonts w:ascii="Arial" w:hAnsi="Arial" w:cs="Arial"/>
                <w:color w:val="666666"/>
              </w:rPr>
            </w:pPr>
          </w:p>
        </w:tc>
        <w:tc>
          <w:tcPr>
            <w:tcW w:w="2662"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Emergency Alert Website</w:t>
            </w:r>
          </w:p>
          <w:p w:rsidR="006103C8" w:rsidRPr="006103C8" w:rsidRDefault="006103C8" w:rsidP="008404C8">
            <w:pPr>
              <w:spacing w:before="120" w:after="120"/>
              <w:jc w:val="center"/>
              <w:rPr>
                <w:rFonts w:ascii="Arial" w:hAnsi="Arial" w:cs="Arial"/>
                <w:color w:val="666666"/>
              </w:rPr>
            </w:pPr>
          </w:p>
        </w:tc>
        <w:tc>
          <w:tcPr>
            <w:tcW w:w="5432" w:type="dxa"/>
          </w:tcPr>
          <w:p w:rsidR="006103C8" w:rsidRPr="006103C8" w:rsidRDefault="008404C8" w:rsidP="008404C8">
            <w:pPr>
              <w:spacing w:before="120" w:after="120"/>
              <w:jc w:val="center"/>
              <w:rPr>
                <w:rFonts w:ascii="Arial" w:hAnsi="Arial" w:cs="Arial"/>
                <w:color w:val="666666"/>
              </w:rPr>
            </w:pPr>
            <w:r>
              <w:rPr>
                <w:rFonts w:ascii="Arial" w:hAnsi="Arial" w:cs="Arial"/>
                <w:color w:val="666666"/>
              </w:rPr>
              <w:t>-</w:t>
            </w:r>
          </w:p>
        </w:tc>
        <w:tc>
          <w:tcPr>
            <w:tcW w:w="1569"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$60,000</w:t>
            </w:r>
          </w:p>
          <w:p w:rsidR="006103C8" w:rsidRPr="006103C8" w:rsidRDefault="006103C8" w:rsidP="008404C8">
            <w:pPr>
              <w:spacing w:before="120" w:after="120" w:line="234" w:lineRule="atLeast"/>
              <w:jc w:val="center"/>
              <w:rPr>
                <w:rFonts w:ascii="Arial" w:hAnsi="Arial" w:cs="Arial"/>
                <w:color w:val="666666"/>
              </w:rPr>
            </w:pPr>
          </w:p>
        </w:tc>
        <w:tc>
          <w:tcPr>
            <w:tcW w:w="1185"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State</w:t>
            </w:r>
          </w:p>
        </w:tc>
      </w:tr>
      <w:tr w:rsidR="00E60647" w:rsidRPr="006103C8" w:rsidTr="00E60647">
        <w:tc>
          <w:tcPr>
            <w:tcW w:w="1169"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2011-12</w:t>
            </w:r>
          </w:p>
        </w:tc>
        <w:tc>
          <w:tcPr>
            <w:tcW w:w="1931"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Central Coast Council</w:t>
            </w:r>
          </w:p>
        </w:tc>
        <w:tc>
          <w:tcPr>
            <w:tcW w:w="2662"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Flood Catchment Mapping Central Coast</w:t>
            </w:r>
          </w:p>
        </w:tc>
        <w:tc>
          <w:tcPr>
            <w:tcW w:w="5432" w:type="dxa"/>
          </w:tcPr>
          <w:p w:rsidR="006103C8" w:rsidRPr="006103C8" w:rsidRDefault="008404C8" w:rsidP="008404C8">
            <w:pPr>
              <w:spacing w:before="120" w:after="120" w:line="234" w:lineRule="atLeast"/>
              <w:jc w:val="center"/>
              <w:rPr>
                <w:rFonts w:ascii="Arial" w:hAnsi="Arial" w:cs="Arial"/>
                <w:color w:val="666666"/>
              </w:rPr>
            </w:pPr>
            <w:r>
              <w:rPr>
                <w:rFonts w:ascii="Arial" w:hAnsi="Arial" w:cs="Arial"/>
                <w:color w:val="666666"/>
              </w:rPr>
              <w:t>-</w:t>
            </w:r>
          </w:p>
        </w:tc>
        <w:tc>
          <w:tcPr>
            <w:tcW w:w="1569"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$20,000</w:t>
            </w:r>
          </w:p>
        </w:tc>
        <w:tc>
          <w:tcPr>
            <w:tcW w:w="1185"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Central Coast</w:t>
            </w:r>
          </w:p>
        </w:tc>
      </w:tr>
      <w:tr w:rsidR="00E60647" w:rsidRPr="006103C8" w:rsidTr="00E60647">
        <w:tc>
          <w:tcPr>
            <w:tcW w:w="1169"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2011-12</w:t>
            </w:r>
          </w:p>
        </w:tc>
        <w:tc>
          <w:tcPr>
            <w:tcW w:w="1931"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Northern Midlands Council</w:t>
            </w:r>
          </w:p>
        </w:tc>
        <w:tc>
          <w:tcPr>
            <w:tcW w:w="2662"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Installation of penstock valves on culvert penetrations through the Longford Flood Levee</w:t>
            </w:r>
          </w:p>
        </w:tc>
        <w:tc>
          <w:tcPr>
            <w:tcW w:w="5432" w:type="dxa"/>
          </w:tcPr>
          <w:p w:rsidR="006103C8" w:rsidRPr="006103C8" w:rsidRDefault="008404C8" w:rsidP="008404C8">
            <w:pPr>
              <w:spacing w:before="120" w:after="120" w:line="234" w:lineRule="atLeast"/>
              <w:jc w:val="center"/>
              <w:rPr>
                <w:rFonts w:ascii="Arial" w:hAnsi="Arial" w:cs="Arial"/>
                <w:color w:val="666666"/>
              </w:rPr>
            </w:pPr>
            <w:r>
              <w:rPr>
                <w:rFonts w:ascii="Arial" w:hAnsi="Arial" w:cs="Arial"/>
                <w:color w:val="666666"/>
              </w:rPr>
              <w:t>-</w:t>
            </w:r>
          </w:p>
        </w:tc>
        <w:tc>
          <w:tcPr>
            <w:tcW w:w="1569"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$35,000</w:t>
            </w:r>
          </w:p>
        </w:tc>
        <w:tc>
          <w:tcPr>
            <w:tcW w:w="1185"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North</w:t>
            </w:r>
          </w:p>
        </w:tc>
      </w:tr>
      <w:tr w:rsidR="00E60647" w:rsidRPr="006103C8" w:rsidTr="00E60647">
        <w:tc>
          <w:tcPr>
            <w:tcW w:w="1169"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2011-12</w:t>
            </w:r>
          </w:p>
        </w:tc>
        <w:tc>
          <w:tcPr>
            <w:tcW w:w="1931"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Meander Valley Council</w:t>
            </w:r>
          </w:p>
        </w:tc>
        <w:tc>
          <w:tcPr>
            <w:tcW w:w="2662"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Meander River Flood Survey</w:t>
            </w:r>
          </w:p>
        </w:tc>
        <w:tc>
          <w:tcPr>
            <w:tcW w:w="5432" w:type="dxa"/>
          </w:tcPr>
          <w:p w:rsidR="006103C8" w:rsidRPr="006103C8" w:rsidRDefault="008404C8" w:rsidP="008404C8">
            <w:pPr>
              <w:spacing w:before="120" w:after="120" w:line="234" w:lineRule="atLeast"/>
              <w:jc w:val="center"/>
              <w:rPr>
                <w:rFonts w:ascii="Arial" w:hAnsi="Arial" w:cs="Arial"/>
                <w:color w:val="666666"/>
              </w:rPr>
            </w:pPr>
            <w:r>
              <w:rPr>
                <w:rFonts w:ascii="Arial" w:hAnsi="Arial" w:cs="Arial"/>
                <w:color w:val="666666"/>
              </w:rPr>
              <w:t>-</w:t>
            </w:r>
          </w:p>
        </w:tc>
        <w:tc>
          <w:tcPr>
            <w:tcW w:w="1569"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$40,000</w:t>
            </w:r>
          </w:p>
        </w:tc>
        <w:tc>
          <w:tcPr>
            <w:tcW w:w="1185"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North</w:t>
            </w:r>
          </w:p>
        </w:tc>
      </w:tr>
      <w:tr w:rsidR="00E60647" w:rsidRPr="006103C8" w:rsidTr="00E60647">
        <w:tc>
          <w:tcPr>
            <w:tcW w:w="1169"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2011-12</w:t>
            </w:r>
          </w:p>
        </w:tc>
        <w:tc>
          <w:tcPr>
            <w:tcW w:w="1931"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Break O’Day</w:t>
            </w:r>
          </w:p>
        </w:tc>
        <w:tc>
          <w:tcPr>
            <w:tcW w:w="2662"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St Helens &amp; Immediate Surrounds – Stormwater Management Plan</w:t>
            </w:r>
          </w:p>
        </w:tc>
        <w:tc>
          <w:tcPr>
            <w:tcW w:w="5432" w:type="dxa"/>
          </w:tcPr>
          <w:p w:rsidR="006103C8" w:rsidRPr="006103C8" w:rsidRDefault="008404C8" w:rsidP="008404C8">
            <w:pPr>
              <w:spacing w:before="120" w:after="120" w:line="234" w:lineRule="atLeast"/>
              <w:jc w:val="center"/>
              <w:rPr>
                <w:rFonts w:ascii="Arial" w:hAnsi="Arial" w:cs="Arial"/>
                <w:color w:val="666666"/>
              </w:rPr>
            </w:pPr>
            <w:r>
              <w:rPr>
                <w:rFonts w:ascii="Arial" w:hAnsi="Arial" w:cs="Arial"/>
                <w:color w:val="666666"/>
              </w:rPr>
              <w:t>-</w:t>
            </w:r>
          </w:p>
        </w:tc>
        <w:tc>
          <w:tcPr>
            <w:tcW w:w="1569"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$42,500</w:t>
            </w:r>
          </w:p>
        </w:tc>
        <w:tc>
          <w:tcPr>
            <w:tcW w:w="1185"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Break O’Day</w:t>
            </w:r>
          </w:p>
        </w:tc>
      </w:tr>
      <w:tr w:rsidR="00E60647" w:rsidRPr="006103C8" w:rsidTr="00E60647">
        <w:tc>
          <w:tcPr>
            <w:tcW w:w="1169"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2011-12</w:t>
            </w:r>
          </w:p>
        </w:tc>
        <w:tc>
          <w:tcPr>
            <w:tcW w:w="1931"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Burnie City Council</w:t>
            </w:r>
          </w:p>
        </w:tc>
        <w:tc>
          <w:tcPr>
            <w:tcW w:w="2662"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Cooee Creek Flood Study</w:t>
            </w:r>
          </w:p>
        </w:tc>
        <w:tc>
          <w:tcPr>
            <w:tcW w:w="5432" w:type="dxa"/>
          </w:tcPr>
          <w:p w:rsidR="006103C8" w:rsidRPr="006103C8" w:rsidRDefault="008404C8" w:rsidP="008404C8">
            <w:pPr>
              <w:spacing w:before="120" w:after="120" w:line="234" w:lineRule="atLeast"/>
              <w:jc w:val="center"/>
              <w:rPr>
                <w:rFonts w:ascii="Arial" w:hAnsi="Arial" w:cs="Arial"/>
                <w:color w:val="666666"/>
              </w:rPr>
            </w:pPr>
            <w:r>
              <w:rPr>
                <w:rFonts w:ascii="Arial" w:hAnsi="Arial" w:cs="Arial"/>
                <w:color w:val="666666"/>
              </w:rPr>
              <w:t>-</w:t>
            </w:r>
          </w:p>
        </w:tc>
        <w:tc>
          <w:tcPr>
            <w:tcW w:w="1569"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$21,500</w:t>
            </w:r>
          </w:p>
        </w:tc>
        <w:tc>
          <w:tcPr>
            <w:tcW w:w="1185"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North</w:t>
            </w:r>
          </w:p>
        </w:tc>
      </w:tr>
      <w:tr w:rsidR="00E60647" w:rsidRPr="006103C8" w:rsidTr="00E60647">
        <w:tc>
          <w:tcPr>
            <w:tcW w:w="1169"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2011-12</w:t>
            </w:r>
          </w:p>
        </w:tc>
        <w:tc>
          <w:tcPr>
            <w:tcW w:w="1931"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Burnie City Council</w:t>
            </w:r>
          </w:p>
        </w:tc>
        <w:tc>
          <w:tcPr>
            <w:tcW w:w="2662"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Romaine Dam Rising</w:t>
            </w:r>
          </w:p>
        </w:tc>
        <w:tc>
          <w:tcPr>
            <w:tcW w:w="5432" w:type="dxa"/>
          </w:tcPr>
          <w:p w:rsidR="006103C8" w:rsidRPr="006103C8" w:rsidRDefault="008404C8" w:rsidP="008404C8">
            <w:pPr>
              <w:spacing w:before="120" w:after="120" w:line="234" w:lineRule="atLeast"/>
              <w:jc w:val="center"/>
              <w:rPr>
                <w:rFonts w:ascii="Arial" w:hAnsi="Arial" w:cs="Arial"/>
                <w:color w:val="666666"/>
              </w:rPr>
            </w:pPr>
            <w:r>
              <w:rPr>
                <w:rFonts w:ascii="Arial" w:hAnsi="Arial" w:cs="Arial"/>
                <w:color w:val="666666"/>
              </w:rPr>
              <w:t>-</w:t>
            </w:r>
          </w:p>
        </w:tc>
        <w:tc>
          <w:tcPr>
            <w:tcW w:w="1569"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$100,000</w:t>
            </w:r>
          </w:p>
        </w:tc>
        <w:tc>
          <w:tcPr>
            <w:tcW w:w="1185"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North</w:t>
            </w:r>
          </w:p>
        </w:tc>
      </w:tr>
      <w:tr w:rsidR="00E60647" w:rsidRPr="006103C8" w:rsidTr="00E60647">
        <w:tc>
          <w:tcPr>
            <w:tcW w:w="1169"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2009-10</w:t>
            </w:r>
          </w:p>
        </w:tc>
        <w:tc>
          <w:tcPr>
            <w:tcW w:w="1931" w:type="dxa"/>
          </w:tcPr>
          <w:p w:rsidR="006103C8" w:rsidRPr="006103C8" w:rsidRDefault="006103C8" w:rsidP="008404C8">
            <w:pPr>
              <w:spacing w:before="120" w:after="120" w:line="234" w:lineRule="atLeast"/>
              <w:jc w:val="center"/>
              <w:rPr>
                <w:rFonts w:ascii="Arial" w:hAnsi="Arial" w:cs="Arial"/>
                <w:color w:val="666666"/>
              </w:rPr>
            </w:pPr>
            <w:r>
              <w:rPr>
                <w:rFonts w:ascii="Arial" w:hAnsi="Arial" w:cs="Arial"/>
                <w:color w:val="666666"/>
              </w:rPr>
              <w:t>Derwent Valley Council</w:t>
            </w:r>
          </w:p>
        </w:tc>
        <w:tc>
          <w:tcPr>
            <w:tcW w:w="2662"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Lower Derwent Flood Warning Upgrade Project</w:t>
            </w:r>
          </w:p>
          <w:p w:rsidR="006103C8" w:rsidRPr="006103C8" w:rsidRDefault="006103C8" w:rsidP="008404C8">
            <w:pPr>
              <w:spacing w:before="120" w:after="120" w:line="234" w:lineRule="atLeast"/>
              <w:jc w:val="center"/>
              <w:rPr>
                <w:rFonts w:ascii="Arial" w:hAnsi="Arial" w:cs="Arial"/>
                <w:color w:val="666666"/>
              </w:rPr>
            </w:pPr>
          </w:p>
        </w:tc>
        <w:tc>
          <w:tcPr>
            <w:tcW w:w="5432" w:type="dxa"/>
          </w:tcPr>
          <w:p w:rsidR="006103C8" w:rsidRPr="006103C8" w:rsidRDefault="0025732C" w:rsidP="0025732C">
            <w:pPr>
              <w:spacing w:before="120" w:after="120"/>
              <w:jc w:val="center"/>
              <w:rPr>
                <w:rFonts w:ascii="Arial" w:hAnsi="Arial" w:cs="Arial"/>
                <w:color w:val="666666"/>
              </w:rPr>
            </w:pPr>
            <w:r>
              <w:rPr>
                <w:rFonts w:ascii="Arial" w:hAnsi="Arial" w:cs="Arial"/>
                <w:color w:val="666666"/>
              </w:rPr>
              <w:t>Install and upgrade rainfall and river monitoring sites in the lower Derwent Valley to assist with riverine flood forecasting.</w:t>
            </w:r>
          </w:p>
        </w:tc>
        <w:tc>
          <w:tcPr>
            <w:tcW w:w="1569" w:type="dxa"/>
          </w:tcPr>
          <w:p w:rsidR="006103C8" w:rsidRPr="006103C8" w:rsidRDefault="00E60647" w:rsidP="008404C8">
            <w:pPr>
              <w:spacing w:before="120" w:after="120"/>
              <w:jc w:val="center"/>
              <w:rPr>
                <w:rFonts w:ascii="Arial" w:hAnsi="Arial" w:cs="Arial"/>
                <w:color w:val="666666"/>
              </w:rPr>
            </w:pPr>
            <w:r>
              <w:rPr>
                <w:rFonts w:ascii="Arial" w:hAnsi="Arial" w:cs="Arial"/>
                <w:color w:val="666666"/>
              </w:rPr>
              <w:t>$</w:t>
            </w:r>
            <w:r w:rsidR="006103C8" w:rsidRPr="006103C8">
              <w:rPr>
                <w:rFonts w:ascii="Arial" w:hAnsi="Arial" w:cs="Arial"/>
                <w:color w:val="666666"/>
              </w:rPr>
              <w:t xml:space="preserve">60,000.00 </w:t>
            </w:r>
          </w:p>
          <w:p w:rsidR="006103C8" w:rsidRPr="006103C8" w:rsidRDefault="006103C8" w:rsidP="008404C8">
            <w:pPr>
              <w:spacing w:before="120" w:after="120" w:line="234" w:lineRule="atLeast"/>
              <w:jc w:val="center"/>
              <w:rPr>
                <w:rFonts w:ascii="Arial" w:hAnsi="Arial" w:cs="Arial"/>
                <w:color w:val="666666"/>
              </w:rPr>
            </w:pPr>
          </w:p>
        </w:tc>
        <w:tc>
          <w:tcPr>
            <w:tcW w:w="1185"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South</w:t>
            </w:r>
          </w:p>
        </w:tc>
      </w:tr>
      <w:tr w:rsidR="00E60647" w:rsidRPr="006103C8" w:rsidTr="00E60647">
        <w:tc>
          <w:tcPr>
            <w:tcW w:w="1169"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2009-10</w:t>
            </w:r>
          </w:p>
        </w:tc>
        <w:tc>
          <w:tcPr>
            <w:tcW w:w="1931" w:type="dxa"/>
          </w:tcPr>
          <w:p w:rsidR="006103C8" w:rsidRPr="006103C8" w:rsidRDefault="006103C8" w:rsidP="008404C8">
            <w:pPr>
              <w:spacing w:before="120" w:after="120" w:line="234" w:lineRule="atLeast"/>
              <w:jc w:val="center"/>
              <w:rPr>
                <w:rFonts w:ascii="Arial" w:hAnsi="Arial" w:cs="Arial"/>
                <w:color w:val="666666"/>
              </w:rPr>
            </w:pPr>
            <w:r>
              <w:rPr>
                <w:rFonts w:ascii="Arial" w:hAnsi="Arial" w:cs="Arial"/>
                <w:color w:val="666666"/>
              </w:rPr>
              <w:t>Glenorchy City Council</w:t>
            </w:r>
          </w:p>
        </w:tc>
        <w:tc>
          <w:tcPr>
            <w:tcW w:w="2662"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Evacuation Plan for Glenorchy CBD and affected residential areas</w:t>
            </w:r>
          </w:p>
          <w:p w:rsidR="006103C8" w:rsidRPr="006103C8" w:rsidRDefault="006103C8" w:rsidP="008404C8">
            <w:pPr>
              <w:spacing w:before="120" w:after="120" w:line="234" w:lineRule="atLeast"/>
              <w:jc w:val="center"/>
              <w:rPr>
                <w:rFonts w:ascii="Arial" w:hAnsi="Arial" w:cs="Arial"/>
                <w:color w:val="666666"/>
              </w:rPr>
            </w:pPr>
          </w:p>
        </w:tc>
        <w:tc>
          <w:tcPr>
            <w:tcW w:w="5432"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This project seeks to identify an appropriate early warning system for those affected by flooding and a process for the safe evacuation of residents, commercial properties and itinerant workers in the Glenorchy CBD and surrounding areas.</w:t>
            </w:r>
          </w:p>
          <w:p w:rsidR="006103C8" w:rsidRPr="006103C8" w:rsidRDefault="006103C8" w:rsidP="008404C8">
            <w:pPr>
              <w:spacing w:before="120" w:after="120" w:line="234" w:lineRule="atLeast"/>
              <w:jc w:val="center"/>
              <w:rPr>
                <w:rFonts w:ascii="Arial" w:hAnsi="Arial" w:cs="Arial"/>
                <w:color w:val="666666"/>
              </w:rPr>
            </w:pPr>
          </w:p>
        </w:tc>
        <w:tc>
          <w:tcPr>
            <w:tcW w:w="1569"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$65,000</w:t>
            </w:r>
          </w:p>
        </w:tc>
        <w:tc>
          <w:tcPr>
            <w:tcW w:w="1185"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South</w:t>
            </w:r>
          </w:p>
        </w:tc>
      </w:tr>
      <w:tr w:rsidR="00E60647" w:rsidRPr="006103C8" w:rsidTr="00E60647">
        <w:tc>
          <w:tcPr>
            <w:tcW w:w="1169"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2009-10</w:t>
            </w:r>
          </w:p>
        </w:tc>
        <w:tc>
          <w:tcPr>
            <w:tcW w:w="1931" w:type="dxa"/>
          </w:tcPr>
          <w:p w:rsidR="006103C8" w:rsidRPr="006103C8" w:rsidRDefault="006103C8" w:rsidP="008404C8">
            <w:pPr>
              <w:spacing w:before="120" w:after="120" w:line="234" w:lineRule="atLeast"/>
              <w:jc w:val="center"/>
              <w:rPr>
                <w:rFonts w:ascii="Arial" w:hAnsi="Arial" w:cs="Arial"/>
                <w:color w:val="666666"/>
              </w:rPr>
            </w:pPr>
            <w:r>
              <w:rPr>
                <w:rFonts w:ascii="Arial" w:hAnsi="Arial" w:cs="Arial"/>
                <w:color w:val="666666"/>
              </w:rPr>
              <w:t>Northern Midlands Council</w:t>
            </w:r>
          </w:p>
        </w:tc>
        <w:tc>
          <w:tcPr>
            <w:tcW w:w="2662"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Longford Flood Protection Training Facility</w:t>
            </w:r>
          </w:p>
          <w:p w:rsidR="006103C8" w:rsidRPr="006103C8" w:rsidRDefault="006103C8" w:rsidP="008404C8">
            <w:pPr>
              <w:spacing w:before="120" w:after="120" w:line="234" w:lineRule="atLeast"/>
              <w:jc w:val="center"/>
              <w:rPr>
                <w:rFonts w:ascii="Arial" w:hAnsi="Arial" w:cs="Arial"/>
                <w:color w:val="666666"/>
              </w:rPr>
            </w:pPr>
          </w:p>
        </w:tc>
        <w:tc>
          <w:tcPr>
            <w:tcW w:w="5432"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To establish a permanent Temporary Flood Protection Training facility to train new staff and refresh existing staff at the Longford storage shed. The training facility would entail purchasing one additional complete section of the Temporary Flood Protection System, install two base concrete foundations/mounting plates, purchase additional rubber seals and erection tools.</w:t>
            </w:r>
          </w:p>
          <w:p w:rsidR="006103C8" w:rsidRPr="006103C8" w:rsidRDefault="006103C8" w:rsidP="008404C8">
            <w:pPr>
              <w:spacing w:before="120" w:after="120" w:line="234" w:lineRule="atLeast"/>
              <w:jc w:val="center"/>
              <w:rPr>
                <w:rFonts w:ascii="Arial" w:hAnsi="Arial" w:cs="Arial"/>
                <w:color w:val="666666"/>
              </w:rPr>
            </w:pPr>
          </w:p>
        </w:tc>
        <w:tc>
          <w:tcPr>
            <w:tcW w:w="1569"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$9,000</w:t>
            </w:r>
          </w:p>
        </w:tc>
        <w:tc>
          <w:tcPr>
            <w:tcW w:w="1185"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North</w:t>
            </w:r>
          </w:p>
        </w:tc>
      </w:tr>
    </w:tbl>
    <w:p w:rsidR="006103C8" w:rsidRPr="006103C8" w:rsidRDefault="006103C8" w:rsidP="008404C8">
      <w:pPr>
        <w:spacing w:before="120" w:after="120"/>
        <w:rPr>
          <w:rFonts w:ascii="Arial" w:hAnsi="Arial" w:cs="Arial"/>
          <w:sz w:val="20"/>
          <w:szCs w:val="20"/>
        </w:rPr>
      </w:pPr>
      <w:r w:rsidRPr="006103C8">
        <w:rPr>
          <w:rFonts w:ascii="Arial" w:hAnsi="Arial" w:cs="Arial"/>
          <w:sz w:val="20"/>
          <w:szCs w:val="20"/>
        </w:rPr>
        <w:br w:type="page"/>
      </w:r>
    </w:p>
    <w:tbl>
      <w:tblPr>
        <w:tblStyle w:val="TableGrid"/>
        <w:tblW w:w="0" w:type="auto"/>
        <w:tblLook w:val="04A0" w:firstRow="1" w:lastRow="0" w:firstColumn="1" w:lastColumn="0" w:noHBand="0" w:noVBand="1"/>
      </w:tblPr>
      <w:tblGrid>
        <w:gridCol w:w="1184"/>
        <w:gridCol w:w="1886"/>
        <w:gridCol w:w="2808"/>
        <w:gridCol w:w="5528"/>
        <w:gridCol w:w="1426"/>
        <w:gridCol w:w="1116"/>
      </w:tblGrid>
      <w:tr w:rsidR="006103C8" w:rsidRPr="006103C8" w:rsidTr="00DF06C6">
        <w:tc>
          <w:tcPr>
            <w:tcW w:w="1668"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2009-10</w:t>
            </w:r>
          </w:p>
        </w:tc>
        <w:tc>
          <w:tcPr>
            <w:tcW w:w="2551" w:type="dxa"/>
          </w:tcPr>
          <w:p w:rsidR="006103C8" w:rsidRPr="006103C8" w:rsidRDefault="006103C8" w:rsidP="008404C8">
            <w:pPr>
              <w:spacing w:before="120" w:after="120" w:line="234" w:lineRule="atLeast"/>
              <w:jc w:val="center"/>
              <w:rPr>
                <w:rFonts w:ascii="Arial" w:hAnsi="Arial" w:cs="Arial"/>
                <w:color w:val="666666"/>
              </w:rPr>
            </w:pPr>
            <w:r>
              <w:rPr>
                <w:rFonts w:ascii="Arial" w:hAnsi="Arial" w:cs="Arial"/>
                <w:color w:val="666666"/>
              </w:rPr>
              <w:t>State Emergency Service</w:t>
            </w:r>
          </w:p>
        </w:tc>
        <w:tc>
          <w:tcPr>
            <w:tcW w:w="4111"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Launceston Flood Siren</w:t>
            </w:r>
          </w:p>
          <w:p w:rsidR="006103C8" w:rsidRPr="006103C8" w:rsidRDefault="006103C8" w:rsidP="008404C8">
            <w:pPr>
              <w:spacing w:before="120" w:after="120" w:line="234" w:lineRule="atLeast"/>
              <w:jc w:val="center"/>
              <w:rPr>
                <w:rFonts w:ascii="Arial" w:hAnsi="Arial" w:cs="Arial"/>
                <w:color w:val="666666"/>
              </w:rPr>
            </w:pPr>
          </w:p>
        </w:tc>
        <w:tc>
          <w:tcPr>
            <w:tcW w:w="9442"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 xml:space="preserve">Launceston is a flood prone municipality, with the suburbs of Invermay/Inveresk being particularly at risk of major flooding. In the event of a 1:50 year (ARI) flood, approximately 4000 residents require evacuation from Inveresk /Invermay. In the event that an evacuation is required, a siren is used to warn residents. The siren is sounded for one minute every fifteen minutes. At present, there is one flood siren in the area. Recent tests show that this siren alone is not adequate to warn residents, particularly those living in the northern end of the suburbs. To this end a second siren is required. </w:t>
            </w:r>
          </w:p>
          <w:p w:rsidR="006103C8" w:rsidRPr="006103C8" w:rsidRDefault="006103C8" w:rsidP="008404C8">
            <w:pPr>
              <w:spacing w:before="120" w:after="120" w:line="234" w:lineRule="atLeast"/>
              <w:jc w:val="center"/>
              <w:rPr>
                <w:rFonts w:ascii="Arial" w:hAnsi="Arial" w:cs="Arial"/>
                <w:color w:val="666666"/>
              </w:rPr>
            </w:pPr>
          </w:p>
        </w:tc>
        <w:tc>
          <w:tcPr>
            <w:tcW w:w="1826"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$4,000</w:t>
            </w:r>
          </w:p>
        </w:tc>
        <w:tc>
          <w:tcPr>
            <w:tcW w:w="1552"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North</w:t>
            </w:r>
          </w:p>
        </w:tc>
      </w:tr>
      <w:tr w:rsidR="006103C8" w:rsidRPr="006103C8" w:rsidTr="00DF06C6">
        <w:tc>
          <w:tcPr>
            <w:tcW w:w="1668"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2009-10</w:t>
            </w:r>
          </w:p>
        </w:tc>
        <w:tc>
          <w:tcPr>
            <w:tcW w:w="2551" w:type="dxa"/>
          </w:tcPr>
          <w:p w:rsidR="006103C8" w:rsidRPr="006103C8" w:rsidRDefault="006103C8" w:rsidP="008404C8">
            <w:pPr>
              <w:spacing w:before="120" w:after="120" w:line="234" w:lineRule="atLeast"/>
              <w:jc w:val="center"/>
              <w:rPr>
                <w:rFonts w:ascii="Arial" w:hAnsi="Arial" w:cs="Arial"/>
                <w:color w:val="666666"/>
              </w:rPr>
            </w:pPr>
            <w:r>
              <w:rPr>
                <w:rFonts w:ascii="Arial" w:hAnsi="Arial" w:cs="Arial"/>
                <w:color w:val="666666"/>
              </w:rPr>
              <w:t>Parks and Wildlife Service</w:t>
            </w:r>
          </w:p>
        </w:tc>
        <w:tc>
          <w:tcPr>
            <w:tcW w:w="4111"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The Arthur-Pieman Integrated Emergency Management Initiative</w:t>
            </w:r>
          </w:p>
          <w:p w:rsidR="006103C8" w:rsidRPr="006103C8" w:rsidRDefault="006103C8" w:rsidP="008404C8">
            <w:pPr>
              <w:spacing w:before="120" w:after="120" w:line="234" w:lineRule="atLeast"/>
              <w:jc w:val="center"/>
              <w:rPr>
                <w:rFonts w:ascii="Arial" w:hAnsi="Arial" w:cs="Arial"/>
                <w:color w:val="666666"/>
              </w:rPr>
            </w:pPr>
          </w:p>
        </w:tc>
        <w:tc>
          <w:tcPr>
            <w:tcW w:w="9442"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 xml:space="preserve">To develop a better relationship and understanding with emergency services and develop a natural disaster and emergency management plan. There is a need to improve the knowledge and safety of people within the APCA from floods, fire, tsunami, storms and other emergency events. Currently there is are no special area emergency management plans for the APCA. The project will include 4 components which will be integrated into APCA management planning, including; information signage, Natural Disaster Mitigation and Emergency Management Plan, public consultation and awareness program and a multi agency emergency training exercise.  </w:t>
            </w:r>
          </w:p>
          <w:p w:rsidR="006103C8" w:rsidRPr="006103C8" w:rsidRDefault="006103C8" w:rsidP="008404C8">
            <w:pPr>
              <w:spacing w:before="120" w:after="120" w:line="234" w:lineRule="atLeast"/>
              <w:jc w:val="center"/>
              <w:rPr>
                <w:rFonts w:ascii="Arial" w:hAnsi="Arial" w:cs="Arial"/>
                <w:color w:val="666666"/>
              </w:rPr>
            </w:pPr>
          </w:p>
        </w:tc>
        <w:tc>
          <w:tcPr>
            <w:tcW w:w="1826"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$59,000</w:t>
            </w:r>
          </w:p>
        </w:tc>
        <w:tc>
          <w:tcPr>
            <w:tcW w:w="1552"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Nth West</w:t>
            </w:r>
          </w:p>
          <w:p w:rsidR="006103C8" w:rsidRPr="006103C8" w:rsidRDefault="006103C8" w:rsidP="008404C8">
            <w:pPr>
              <w:spacing w:before="120" w:after="120" w:line="234" w:lineRule="atLeast"/>
              <w:jc w:val="center"/>
              <w:rPr>
                <w:rFonts w:ascii="Arial" w:hAnsi="Arial" w:cs="Arial"/>
                <w:color w:val="666666"/>
              </w:rPr>
            </w:pPr>
          </w:p>
        </w:tc>
      </w:tr>
      <w:tr w:rsidR="006103C8" w:rsidRPr="006103C8" w:rsidTr="00DF06C6">
        <w:tc>
          <w:tcPr>
            <w:tcW w:w="1668"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2009-10</w:t>
            </w:r>
          </w:p>
        </w:tc>
        <w:tc>
          <w:tcPr>
            <w:tcW w:w="2551" w:type="dxa"/>
          </w:tcPr>
          <w:p w:rsidR="006103C8" w:rsidRPr="006103C8" w:rsidRDefault="006103C8" w:rsidP="008404C8">
            <w:pPr>
              <w:spacing w:before="120" w:after="120" w:line="234" w:lineRule="atLeast"/>
              <w:jc w:val="center"/>
              <w:rPr>
                <w:rFonts w:ascii="Arial" w:hAnsi="Arial" w:cs="Arial"/>
                <w:color w:val="666666"/>
              </w:rPr>
            </w:pPr>
            <w:r>
              <w:rPr>
                <w:rFonts w:ascii="Arial" w:hAnsi="Arial" w:cs="Arial"/>
                <w:color w:val="666666"/>
              </w:rPr>
              <w:t>Department of Premier and Cabinet</w:t>
            </w:r>
          </w:p>
        </w:tc>
        <w:tc>
          <w:tcPr>
            <w:tcW w:w="4111"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Implementation of a State Framework for Mitigating Natural Hazards through Land Use Planning and Building Regulation</w:t>
            </w:r>
          </w:p>
          <w:p w:rsidR="006103C8" w:rsidRPr="006103C8" w:rsidRDefault="006103C8" w:rsidP="008404C8">
            <w:pPr>
              <w:spacing w:before="120" w:after="120" w:line="234" w:lineRule="atLeast"/>
              <w:jc w:val="center"/>
              <w:rPr>
                <w:rFonts w:ascii="Arial" w:hAnsi="Arial" w:cs="Arial"/>
                <w:color w:val="666666"/>
              </w:rPr>
            </w:pPr>
          </w:p>
        </w:tc>
        <w:tc>
          <w:tcPr>
            <w:tcW w:w="9442" w:type="dxa"/>
          </w:tcPr>
          <w:p w:rsidR="006103C8" w:rsidRPr="006103C8" w:rsidRDefault="006103C8" w:rsidP="008404C8">
            <w:pPr>
              <w:spacing w:before="120" w:after="120"/>
              <w:jc w:val="center"/>
              <w:rPr>
                <w:rFonts w:ascii="Arial" w:hAnsi="Arial" w:cs="Arial"/>
                <w:color w:val="666666"/>
              </w:rPr>
            </w:pPr>
            <w:r w:rsidRPr="006103C8">
              <w:rPr>
                <w:rFonts w:ascii="Arial" w:hAnsi="Arial" w:cs="Arial"/>
                <w:color w:val="666666"/>
              </w:rPr>
              <w:t>This initiative will directly build community resilience to natural disasters through the implementation of an integrated framework that provides a vehicle for consideration of natural hazards and risks in the planning system building regulatory system.</w:t>
            </w:r>
          </w:p>
          <w:p w:rsidR="006103C8" w:rsidRPr="006103C8" w:rsidRDefault="006103C8" w:rsidP="008404C8">
            <w:pPr>
              <w:spacing w:before="120" w:after="120" w:line="234" w:lineRule="atLeast"/>
              <w:jc w:val="center"/>
              <w:rPr>
                <w:rFonts w:ascii="Arial" w:hAnsi="Arial" w:cs="Arial"/>
                <w:color w:val="666666"/>
              </w:rPr>
            </w:pPr>
          </w:p>
        </w:tc>
        <w:tc>
          <w:tcPr>
            <w:tcW w:w="1826"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$125,000</w:t>
            </w:r>
          </w:p>
        </w:tc>
        <w:tc>
          <w:tcPr>
            <w:tcW w:w="1552" w:type="dxa"/>
          </w:tcPr>
          <w:p w:rsidR="006103C8" w:rsidRPr="006103C8" w:rsidRDefault="006103C8" w:rsidP="008404C8">
            <w:pPr>
              <w:spacing w:before="120" w:after="120" w:line="234" w:lineRule="atLeast"/>
              <w:jc w:val="center"/>
              <w:rPr>
                <w:rFonts w:ascii="Arial" w:hAnsi="Arial" w:cs="Arial"/>
                <w:color w:val="666666"/>
              </w:rPr>
            </w:pPr>
            <w:r w:rsidRPr="006103C8">
              <w:rPr>
                <w:rFonts w:ascii="Arial" w:hAnsi="Arial" w:cs="Arial"/>
                <w:color w:val="666666"/>
              </w:rPr>
              <w:t>State</w:t>
            </w:r>
          </w:p>
        </w:tc>
      </w:tr>
    </w:tbl>
    <w:p w:rsidR="006103C8" w:rsidRPr="005E7C55" w:rsidRDefault="006103C8" w:rsidP="006103C8">
      <w:pPr>
        <w:shd w:val="clear" w:color="auto" w:fill="FFFFFF"/>
        <w:spacing w:before="100" w:beforeAutospacing="1" w:after="100" w:afterAutospacing="1" w:line="234" w:lineRule="atLeast"/>
        <w:jc w:val="center"/>
        <w:rPr>
          <w:rFonts w:ascii="Arial" w:hAnsi="Arial" w:cs="Arial"/>
          <w:sz w:val="20"/>
          <w:szCs w:val="20"/>
        </w:rPr>
      </w:pPr>
    </w:p>
    <w:p w:rsidR="006E292B" w:rsidRPr="005E7C55" w:rsidRDefault="006E292B" w:rsidP="005E7C55">
      <w:pPr>
        <w:spacing w:before="120" w:after="120"/>
        <w:rPr>
          <w:rFonts w:ascii="Arial" w:hAnsi="Arial" w:cs="Arial"/>
          <w:sz w:val="20"/>
          <w:szCs w:val="20"/>
        </w:rPr>
      </w:pPr>
    </w:p>
    <w:p w:rsidR="006E292B" w:rsidRPr="005E7C55" w:rsidRDefault="006E292B" w:rsidP="005E7C55">
      <w:pPr>
        <w:shd w:val="clear" w:color="auto" w:fill="FFFFFF"/>
        <w:spacing w:before="120" w:after="120" w:line="234" w:lineRule="atLeast"/>
        <w:jc w:val="center"/>
        <w:rPr>
          <w:rFonts w:ascii="Arial" w:eastAsia="Times New Roman" w:hAnsi="Arial" w:cs="Arial"/>
          <w:b/>
          <w:i/>
          <w:color w:val="666666"/>
          <w:sz w:val="20"/>
          <w:szCs w:val="20"/>
          <w:lang w:eastAsia="en-AU"/>
        </w:rPr>
      </w:pPr>
      <w:r w:rsidRPr="005E7C55">
        <w:rPr>
          <w:rFonts w:ascii="Arial" w:eastAsia="Times New Roman" w:hAnsi="Arial" w:cs="Arial"/>
          <w:b/>
          <w:i/>
          <w:color w:val="666666"/>
          <w:sz w:val="20"/>
          <w:szCs w:val="20"/>
          <w:lang w:eastAsia="en-AU"/>
        </w:rPr>
        <w:t>Community preparation, resilience and awareness, including awareness of insurance matters, relating to major flood events in Tasmania</w:t>
      </w:r>
    </w:p>
    <w:tbl>
      <w:tblPr>
        <w:tblStyle w:val="TableGrid"/>
        <w:tblW w:w="0" w:type="auto"/>
        <w:tblLook w:val="04A0" w:firstRow="1" w:lastRow="0" w:firstColumn="1" w:lastColumn="0" w:noHBand="0" w:noVBand="1"/>
      </w:tblPr>
      <w:tblGrid>
        <w:gridCol w:w="1183"/>
        <w:gridCol w:w="1982"/>
        <w:gridCol w:w="2743"/>
        <w:gridCol w:w="5333"/>
        <w:gridCol w:w="1426"/>
        <w:gridCol w:w="1281"/>
      </w:tblGrid>
      <w:tr w:rsidR="006E292B" w:rsidRPr="005E7C55" w:rsidTr="006E292B">
        <w:tc>
          <w:tcPr>
            <w:tcW w:w="1668"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Fund Year</w:t>
            </w:r>
          </w:p>
        </w:tc>
        <w:tc>
          <w:tcPr>
            <w:tcW w:w="2551"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Organisation</w:t>
            </w:r>
          </w:p>
        </w:tc>
        <w:tc>
          <w:tcPr>
            <w:tcW w:w="4111"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 xml:space="preserve">Project Name </w:t>
            </w:r>
          </w:p>
        </w:tc>
        <w:tc>
          <w:tcPr>
            <w:tcW w:w="9442"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 xml:space="preserve">Project Summary </w:t>
            </w:r>
          </w:p>
        </w:tc>
        <w:tc>
          <w:tcPr>
            <w:tcW w:w="1826"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 xml:space="preserve">Funding </w:t>
            </w:r>
          </w:p>
        </w:tc>
        <w:tc>
          <w:tcPr>
            <w:tcW w:w="1552"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Region</w:t>
            </w:r>
          </w:p>
        </w:tc>
      </w:tr>
      <w:tr w:rsidR="006E292B" w:rsidRPr="005E7C55" w:rsidTr="006E292B">
        <w:tc>
          <w:tcPr>
            <w:tcW w:w="1668"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2014-15</w:t>
            </w:r>
          </w:p>
        </w:tc>
        <w:tc>
          <w:tcPr>
            <w:tcW w:w="2551"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Australian Red Cross</w:t>
            </w:r>
          </w:p>
        </w:tc>
        <w:tc>
          <w:tcPr>
            <w:tcW w:w="4111"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Adapting REDIplan Household Emergency Preparedness for Tasmania</w:t>
            </w:r>
          </w:p>
        </w:tc>
        <w:tc>
          <w:tcPr>
            <w:tcW w:w="9442"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 xml:space="preserve">The Project will produce a range of Tasmanian-specific emergency preparedness materials that includes a house hold level tool for individuals and families to identify and address their disaster vulnerabilities.   </w:t>
            </w:r>
          </w:p>
        </w:tc>
        <w:tc>
          <w:tcPr>
            <w:tcW w:w="1826"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$18,915</w:t>
            </w:r>
          </w:p>
        </w:tc>
        <w:tc>
          <w:tcPr>
            <w:tcW w:w="1552"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State</w:t>
            </w:r>
          </w:p>
        </w:tc>
      </w:tr>
      <w:tr w:rsidR="006E292B" w:rsidRPr="005E7C55" w:rsidTr="006E292B">
        <w:tc>
          <w:tcPr>
            <w:tcW w:w="1668"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2014-15</w:t>
            </w:r>
          </w:p>
        </w:tc>
        <w:tc>
          <w:tcPr>
            <w:tcW w:w="2551"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Dept. of Primary Industry, Parks and Wildlife and the Environment</w:t>
            </w:r>
          </w:p>
        </w:tc>
        <w:tc>
          <w:tcPr>
            <w:tcW w:w="4111"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Animal Welfare in Emergencies</w:t>
            </w:r>
          </w:p>
        </w:tc>
        <w:tc>
          <w:tcPr>
            <w:tcW w:w="9442"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The Project will provide consistent and contemporary advice from the Department Primary Industry, Parks and Wildlife and the Environment Animal Welfare staff to Councils in relation to accounting for animal welfare in the evacuation context. The Project also provides an opportunity for Council staff to adapt the advice in a practical manner to suit their community's needs.</w:t>
            </w:r>
          </w:p>
        </w:tc>
        <w:tc>
          <w:tcPr>
            <w:tcW w:w="1826"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$30,000</w:t>
            </w:r>
          </w:p>
        </w:tc>
        <w:tc>
          <w:tcPr>
            <w:tcW w:w="1552"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State</w:t>
            </w:r>
          </w:p>
        </w:tc>
      </w:tr>
      <w:tr w:rsidR="006E292B" w:rsidRPr="005E7C55" w:rsidTr="006E292B">
        <w:tc>
          <w:tcPr>
            <w:tcW w:w="1668"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color w:val="666666"/>
              </w:rPr>
              <w:t>2014-15</w:t>
            </w:r>
          </w:p>
        </w:tc>
        <w:tc>
          <w:tcPr>
            <w:tcW w:w="2551"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State Emergency Service</w:t>
            </w:r>
          </w:p>
        </w:tc>
        <w:tc>
          <w:tcPr>
            <w:tcW w:w="4111"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Tasmanian Community Flood Resilience Project – Stage 2</w:t>
            </w:r>
          </w:p>
        </w:tc>
        <w:tc>
          <w:tcPr>
            <w:tcW w:w="9442"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The Project will develop state-wide flood management policies, plans and guidelines that: specify and assign flood PPRR roles; detail how the roles will be undertaken; and the processes and standards to be followed.</w:t>
            </w:r>
          </w:p>
        </w:tc>
        <w:tc>
          <w:tcPr>
            <w:tcW w:w="1826"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$98,375</w:t>
            </w:r>
          </w:p>
        </w:tc>
        <w:tc>
          <w:tcPr>
            <w:tcW w:w="1552"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color w:val="666666"/>
              </w:rPr>
              <w:t>State</w:t>
            </w:r>
          </w:p>
        </w:tc>
      </w:tr>
      <w:tr w:rsidR="006E292B" w:rsidRPr="005E7C55" w:rsidTr="006E292B">
        <w:tc>
          <w:tcPr>
            <w:tcW w:w="1668"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2014-15</w:t>
            </w:r>
          </w:p>
        </w:tc>
        <w:tc>
          <w:tcPr>
            <w:tcW w:w="2551"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Dept. of Premier and Cabinet</w:t>
            </w:r>
          </w:p>
        </w:tc>
        <w:tc>
          <w:tcPr>
            <w:tcW w:w="4111"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Compiling and Sharing Hazard Information with the Community</w:t>
            </w:r>
          </w:p>
        </w:tc>
        <w:tc>
          <w:tcPr>
            <w:tcW w:w="9442"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 xml:space="preserve">The Project will improve community resilience by supporting individuals and communities to take appropriate risk mitigation action by providing households with detailed information about their exposure to natural hazards. </w:t>
            </w:r>
          </w:p>
        </w:tc>
        <w:tc>
          <w:tcPr>
            <w:tcW w:w="1826"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$117,000</w:t>
            </w:r>
          </w:p>
        </w:tc>
        <w:tc>
          <w:tcPr>
            <w:tcW w:w="1552"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State</w:t>
            </w:r>
          </w:p>
        </w:tc>
      </w:tr>
      <w:tr w:rsidR="006E292B" w:rsidRPr="005E7C55" w:rsidTr="006E292B">
        <w:tc>
          <w:tcPr>
            <w:tcW w:w="1668"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2012-13</w:t>
            </w:r>
          </w:p>
        </w:tc>
        <w:tc>
          <w:tcPr>
            <w:tcW w:w="2551"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State Emergency Service</w:t>
            </w:r>
          </w:p>
          <w:p w:rsidR="006E292B" w:rsidRPr="005E7C55" w:rsidRDefault="006E292B" w:rsidP="005E7C55">
            <w:pPr>
              <w:spacing w:before="120" w:after="120" w:line="234" w:lineRule="atLeast"/>
              <w:jc w:val="center"/>
              <w:rPr>
                <w:rFonts w:ascii="Arial" w:hAnsi="Arial" w:cs="Arial"/>
                <w:color w:val="666666"/>
              </w:rPr>
            </w:pPr>
          </w:p>
        </w:tc>
        <w:tc>
          <w:tcPr>
            <w:tcW w:w="4111"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State Emergency Service</w:t>
            </w:r>
          </w:p>
          <w:p w:rsidR="006E292B" w:rsidRPr="005E7C55" w:rsidRDefault="006E292B" w:rsidP="005E7C55">
            <w:pPr>
              <w:spacing w:before="120" w:after="120" w:line="234" w:lineRule="atLeast"/>
              <w:jc w:val="center"/>
              <w:rPr>
                <w:rFonts w:ascii="Arial" w:hAnsi="Arial" w:cs="Arial"/>
                <w:color w:val="666666"/>
              </w:rPr>
            </w:pPr>
          </w:p>
        </w:tc>
        <w:tc>
          <w:tcPr>
            <w:tcW w:w="9442"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Development of Emergency Management Arrangements for Vulnerable Members of Tasmanian Communities - The development of emergency management arrangements for vulnerable members of Tasmanian communities</w:t>
            </w:r>
          </w:p>
          <w:p w:rsidR="006E292B" w:rsidRPr="005E7C55" w:rsidRDefault="006E292B" w:rsidP="005E7C55">
            <w:pPr>
              <w:spacing w:before="120" w:after="120" w:line="234" w:lineRule="atLeast"/>
              <w:jc w:val="center"/>
              <w:rPr>
                <w:rFonts w:ascii="Arial" w:hAnsi="Arial" w:cs="Arial"/>
                <w:color w:val="666666"/>
              </w:rPr>
            </w:pPr>
          </w:p>
        </w:tc>
        <w:tc>
          <w:tcPr>
            <w:tcW w:w="1826"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$100,200</w:t>
            </w:r>
          </w:p>
          <w:p w:rsidR="006E292B" w:rsidRPr="005E7C55" w:rsidRDefault="006E292B" w:rsidP="005E7C55">
            <w:pPr>
              <w:spacing w:before="120" w:after="120" w:line="234" w:lineRule="atLeast"/>
              <w:jc w:val="center"/>
              <w:rPr>
                <w:rFonts w:ascii="Arial" w:hAnsi="Arial" w:cs="Arial"/>
                <w:color w:val="666666"/>
              </w:rPr>
            </w:pPr>
          </w:p>
        </w:tc>
        <w:tc>
          <w:tcPr>
            <w:tcW w:w="1552"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State</w:t>
            </w:r>
          </w:p>
        </w:tc>
      </w:tr>
      <w:tr w:rsidR="006E292B" w:rsidRPr="005E7C55" w:rsidTr="006E292B">
        <w:tc>
          <w:tcPr>
            <w:tcW w:w="1668"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2012-13</w:t>
            </w:r>
          </w:p>
        </w:tc>
        <w:tc>
          <w:tcPr>
            <w:tcW w:w="2551" w:type="dxa"/>
          </w:tcPr>
          <w:p w:rsidR="006E292B" w:rsidRPr="005E7C55" w:rsidRDefault="006E292B" w:rsidP="005E7C55">
            <w:pPr>
              <w:spacing w:before="120" w:after="120"/>
              <w:jc w:val="center"/>
              <w:rPr>
                <w:rFonts w:ascii="Arial" w:hAnsi="Arial" w:cs="Arial"/>
                <w:color w:val="666666"/>
              </w:rPr>
            </w:pPr>
            <w:r w:rsidRPr="005E7C55">
              <w:rPr>
                <w:rFonts w:ascii="Arial" w:hAnsi="Arial" w:cs="Arial"/>
                <w:color w:val="666666"/>
              </w:rPr>
              <w:t>State Emergency Service</w:t>
            </w:r>
          </w:p>
          <w:p w:rsidR="006E292B" w:rsidRPr="005E7C55" w:rsidRDefault="006E292B" w:rsidP="005E7C55">
            <w:pPr>
              <w:spacing w:before="120" w:after="120" w:line="234" w:lineRule="atLeast"/>
              <w:jc w:val="center"/>
              <w:rPr>
                <w:rFonts w:ascii="Arial" w:hAnsi="Arial" w:cs="Arial"/>
                <w:color w:val="666666"/>
              </w:rPr>
            </w:pPr>
          </w:p>
        </w:tc>
        <w:tc>
          <w:tcPr>
            <w:tcW w:w="4111" w:type="dxa"/>
          </w:tcPr>
          <w:p w:rsidR="006E292B" w:rsidRPr="005E7C55" w:rsidRDefault="00EA7EDB" w:rsidP="00EA7EDB">
            <w:pPr>
              <w:spacing w:before="120" w:after="120"/>
              <w:jc w:val="center"/>
              <w:rPr>
                <w:rFonts w:ascii="Arial" w:hAnsi="Arial" w:cs="Arial"/>
                <w:color w:val="666666"/>
              </w:rPr>
            </w:pPr>
            <w:r w:rsidRPr="005E7C55">
              <w:rPr>
                <w:rFonts w:ascii="Arial" w:hAnsi="Arial" w:cs="Arial"/>
                <w:color w:val="666666"/>
              </w:rPr>
              <w:t>Tasmanian Flood Resilience Project</w:t>
            </w:r>
          </w:p>
        </w:tc>
        <w:tc>
          <w:tcPr>
            <w:tcW w:w="9442" w:type="dxa"/>
          </w:tcPr>
          <w:p w:rsidR="006E292B" w:rsidRPr="005E7C55" w:rsidRDefault="00EA7EDB" w:rsidP="005E7C55">
            <w:pPr>
              <w:spacing w:before="120" w:after="120"/>
              <w:jc w:val="center"/>
              <w:rPr>
                <w:rFonts w:ascii="Arial" w:hAnsi="Arial" w:cs="Arial"/>
                <w:color w:val="666666"/>
              </w:rPr>
            </w:pPr>
            <w:r>
              <w:rPr>
                <w:rFonts w:ascii="Arial" w:hAnsi="Arial" w:cs="Arial"/>
                <w:color w:val="666666"/>
              </w:rPr>
              <w:t>-T</w:t>
            </w:r>
            <w:r w:rsidR="006E292B" w:rsidRPr="005E7C55">
              <w:rPr>
                <w:rFonts w:ascii="Arial" w:hAnsi="Arial" w:cs="Arial"/>
                <w:color w:val="666666"/>
              </w:rPr>
              <w:t>o enhance community resilience by developing a better understanding of flood risk and flood management decision tools such as flood maps, plans, warning systems and systems that support flood intelligence and improve public awareness , education and self-help capacity in relation to flood and storm events</w:t>
            </w:r>
          </w:p>
          <w:p w:rsidR="006E292B" w:rsidRPr="005E7C55" w:rsidRDefault="006E292B" w:rsidP="005E7C55">
            <w:pPr>
              <w:spacing w:before="120" w:after="120" w:line="234" w:lineRule="atLeast"/>
              <w:jc w:val="center"/>
              <w:rPr>
                <w:rFonts w:ascii="Arial" w:hAnsi="Arial" w:cs="Arial"/>
                <w:color w:val="666666"/>
              </w:rPr>
            </w:pPr>
          </w:p>
        </w:tc>
        <w:tc>
          <w:tcPr>
            <w:tcW w:w="1826" w:type="dxa"/>
          </w:tcPr>
          <w:p w:rsidR="006E292B" w:rsidRPr="005E7C55" w:rsidRDefault="006E292B" w:rsidP="005E7C55">
            <w:pPr>
              <w:spacing w:before="120" w:after="120"/>
              <w:jc w:val="center"/>
              <w:rPr>
                <w:rFonts w:ascii="Arial" w:hAnsi="Arial" w:cs="Arial"/>
                <w:color w:val="666666"/>
              </w:rPr>
            </w:pPr>
            <w:r w:rsidRPr="005E7C55">
              <w:rPr>
                <w:rFonts w:ascii="Arial" w:hAnsi="Arial" w:cs="Arial"/>
                <w:color w:val="666666"/>
              </w:rPr>
              <w:t>$60,000</w:t>
            </w:r>
          </w:p>
          <w:p w:rsidR="006E292B" w:rsidRPr="005E7C55" w:rsidRDefault="006E292B" w:rsidP="005E7C55">
            <w:pPr>
              <w:spacing w:before="120" w:after="120" w:line="234" w:lineRule="atLeast"/>
              <w:jc w:val="center"/>
              <w:rPr>
                <w:rFonts w:ascii="Arial" w:hAnsi="Arial" w:cs="Arial"/>
                <w:color w:val="666666"/>
              </w:rPr>
            </w:pPr>
          </w:p>
        </w:tc>
        <w:tc>
          <w:tcPr>
            <w:tcW w:w="1552"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State</w:t>
            </w:r>
          </w:p>
        </w:tc>
      </w:tr>
      <w:tr w:rsidR="006E292B" w:rsidRPr="005E7C55" w:rsidTr="006E292B">
        <w:tc>
          <w:tcPr>
            <w:tcW w:w="1668"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2011-12</w:t>
            </w:r>
          </w:p>
        </w:tc>
        <w:tc>
          <w:tcPr>
            <w:tcW w:w="2551"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Australian Red Cross</w:t>
            </w:r>
          </w:p>
        </w:tc>
        <w:tc>
          <w:tcPr>
            <w:tcW w:w="4111" w:type="dxa"/>
          </w:tcPr>
          <w:p w:rsidR="006E292B" w:rsidRPr="005E7C55" w:rsidRDefault="00EA7EDB" w:rsidP="005E7C55">
            <w:pPr>
              <w:spacing w:before="120" w:after="120"/>
              <w:jc w:val="center"/>
              <w:rPr>
                <w:rFonts w:ascii="Arial" w:hAnsi="Arial" w:cs="Arial"/>
                <w:color w:val="666666"/>
              </w:rPr>
            </w:pPr>
            <w:r w:rsidRPr="005E7C55">
              <w:rPr>
                <w:rFonts w:ascii="Arial" w:hAnsi="Arial" w:cs="Arial"/>
                <w:color w:val="666666"/>
              </w:rPr>
              <w:t>Emergency Preparedness for Culturally &amp; Linguistically Diverse Communities in Tasmania</w:t>
            </w:r>
          </w:p>
        </w:tc>
        <w:tc>
          <w:tcPr>
            <w:tcW w:w="9442" w:type="dxa"/>
          </w:tcPr>
          <w:p w:rsidR="006E292B" w:rsidRPr="005E7C55" w:rsidRDefault="006E292B" w:rsidP="005E7C55">
            <w:pPr>
              <w:spacing w:before="120" w:after="120"/>
              <w:jc w:val="center"/>
              <w:rPr>
                <w:rFonts w:ascii="Arial" w:hAnsi="Arial" w:cs="Arial"/>
                <w:color w:val="666666"/>
              </w:rPr>
            </w:pPr>
          </w:p>
        </w:tc>
        <w:tc>
          <w:tcPr>
            <w:tcW w:w="1826" w:type="dxa"/>
          </w:tcPr>
          <w:p w:rsidR="006E292B" w:rsidRPr="005E7C55" w:rsidRDefault="006E292B" w:rsidP="005E7C55">
            <w:pPr>
              <w:spacing w:before="120" w:after="120"/>
              <w:jc w:val="center"/>
              <w:rPr>
                <w:rFonts w:ascii="Arial" w:hAnsi="Arial" w:cs="Arial"/>
                <w:color w:val="666666"/>
              </w:rPr>
            </w:pPr>
            <w:r w:rsidRPr="005E7C55">
              <w:rPr>
                <w:rFonts w:ascii="Arial" w:hAnsi="Arial" w:cs="Arial"/>
                <w:color w:val="666666"/>
              </w:rPr>
              <w:t>$13,500</w:t>
            </w:r>
          </w:p>
        </w:tc>
        <w:tc>
          <w:tcPr>
            <w:tcW w:w="1552" w:type="dxa"/>
          </w:tcPr>
          <w:p w:rsidR="006E292B" w:rsidRPr="005E7C55" w:rsidRDefault="006E292B" w:rsidP="005E7C55">
            <w:pPr>
              <w:spacing w:before="120" w:after="120" w:line="234" w:lineRule="atLeast"/>
              <w:jc w:val="center"/>
              <w:rPr>
                <w:rFonts w:ascii="Arial" w:hAnsi="Arial" w:cs="Arial"/>
                <w:color w:val="666666"/>
              </w:rPr>
            </w:pPr>
          </w:p>
        </w:tc>
      </w:tr>
      <w:tr w:rsidR="006E292B" w:rsidRPr="005E7C55" w:rsidTr="006E292B">
        <w:tc>
          <w:tcPr>
            <w:tcW w:w="1668"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2012-13</w:t>
            </w:r>
          </w:p>
        </w:tc>
        <w:tc>
          <w:tcPr>
            <w:tcW w:w="2551" w:type="dxa"/>
          </w:tcPr>
          <w:p w:rsidR="00EA7EDB" w:rsidRPr="005E7C55" w:rsidRDefault="00EA7EDB" w:rsidP="00EA7EDB">
            <w:pPr>
              <w:spacing w:before="120" w:after="120"/>
              <w:jc w:val="center"/>
              <w:rPr>
                <w:rFonts w:ascii="Arial" w:hAnsi="Arial" w:cs="Arial"/>
                <w:color w:val="666666"/>
              </w:rPr>
            </w:pPr>
            <w:r w:rsidRPr="005E7C55">
              <w:rPr>
                <w:rFonts w:ascii="Arial" w:hAnsi="Arial" w:cs="Arial"/>
                <w:color w:val="666666"/>
              </w:rPr>
              <w:t>Migrant Resource Centre (Southern Tasmania) Inc</w:t>
            </w:r>
          </w:p>
          <w:p w:rsidR="006E292B" w:rsidRPr="005E7C55" w:rsidRDefault="006E292B" w:rsidP="005E7C55">
            <w:pPr>
              <w:spacing w:before="120" w:after="120" w:line="234" w:lineRule="atLeast"/>
              <w:jc w:val="center"/>
              <w:rPr>
                <w:rFonts w:ascii="Arial" w:hAnsi="Arial" w:cs="Arial"/>
                <w:color w:val="666666"/>
              </w:rPr>
            </w:pPr>
          </w:p>
        </w:tc>
        <w:tc>
          <w:tcPr>
            <w:tcW w:w="4111" w:type="dxa"/>
          </w:tcPr>
          <w:p w:rsidR="006E292B" w:rsidRPr="005E7C55" w:rsidRDefault="00EA7EDB" w:rsidP="00EA7EDB">
            <w:pPr>
              <w:spacing w:before="120" w:after="120"/>
              <w:jc w:val="center"/>
              <w:rPr>
                <w:rFonts w:ascii="Arial" w:hAnsi="Arial" w:cs="Arial"/>
                <w:color w:val="666666"/>
              </w:rPr>
            </w:pPr>
            <w:r>
              <w:rPr>
                <w:rFonts w:ascii="Arial" w:hAnsi="Arial" w:cs="Arial"/>
                <w:color w:val="666666"/>
              </w:rPr>
              <w:t>I</w:t>
            </w:r>
            <w:r w:rsidRPr="005E7C55">
              <w:rPr>
                <w:rFonts w:ascii="Arial" w:hAnsi="Arial" w:cs="Arial"/>
                <w:color w:val="666666"/>
              </w:rPr>
              <w:t>nclusive Disaster resilience Responses for Culturally and Linguistically Diverse Communities in Southern Tasmania - year 2 of a 2011-12 project</w:t>
            </w:r>
          </w:p>
        </w:tc>
        <w:tc>
          <w:tcPr>
            <w:tcW w:w="9442" w:type="dxa"/>
          </w:tcPr>
          <w:p w:rsidR="006E292B" w:rsidRPr="005E7C55" w:rsidRDefault="006E292B" w:rsidP="005E7C55">
            <w:pPr>
              <w:spacing w:before="120" w:after="120"/>
              <w:jc w:val="center"/>
              <w:rPr>
                <w:rFonts w:ascii="Arial" w:hAnsi="Arial" w:cs="Arial"/>
                <w:color w:val="666666"/>
              </w:rPr>
            </w:pPr>
            <w:r w:rsidRPr="005E7C55">
              <w:rPr>
                <w:rFonts w:ascii="Arial" w:hAnsi="Arial" w:cs="Arial"/>
                <w:color w:val="666666"/>
              </w:rPr>
              <w:t>I</w:t>
            </w:r>
          </w:p>
          <w:p w:rsidR="006E292B" w:rsidRPr="005E7C55" w:rsidRDefault="006E292B" w:rsidP="005E7C55">
            <w:pPr>
              <w:spacing w:before="120" w:after="120" w:line="234" w:lineRule="atLeast"/>
              <w:jc w:val="center"/>
              <w:rPr>
                <w:rFonts w:ascii="Arial" w:hAnsi="Arial" w:cs="Arial"/>
                <w:color w:val="666666"/>
              </w:rPr>
            </w:pPr>
          </w:p>
        </w:tc>
        <w:tc>
          <w:tcPr>
            <w:tcW w:w="1826" w:type="dxa"/>
          </w:tcPr>
          <w:p w:rsidR="006E292B" w:rsidRPr="005E7C55" w:rsidRDefault="006E292B" w:rsidP="005E7C55">
            <w:pPr>
              <w:spacing w:before="120" w:after="120"/>
              <w:jc w:val="center"/>
              <w:rPr>
                <w:rFonts w:ascii="Arial" w:hAnsi="Arial" w:cs="Arial"/>
                <w:color w:val="666666"/>
              </w:rPr>
            </w:pPr>
            <w:r w:rsidRPr="005E7C55">
              <w:rPr>
                <w:rFonts w:ascii="Arial" w:hAnsi="Arial" w:cs="Arial"/>
                <w:color w:val="666666"/>
              </w:rPr>
              <w:t>$13,200</w:t>
            </w:r>
          </w:p>
          <w:p w:rsidR="006E292B" w:rsidRPr="005E7C55" w:rsidRDefault="006E292B" w:rsidP="005E7C55">
            <w:pPr>
              <w:spacing w:before="120" w:after="120" w:line="234" w:lineRule="atLeast"/>
              <w:jc w:val="center"/>
              <w:rPr>
                <w:rFonts w:ascii="Arial" w:hAnsi="Arial" w:cs="Arial"/>
                <w:color w:val="666666"/>
              </w:rPr>
            </w:pPr>
          </w:p>
        </w:tc>
        <w:tc>
          <w:tcPr>
            <w:tcW w:w="1552"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Southern</w:t>
            </w:r>
          </w:p>
        </w:tc>
      </w:tr>
    </w:tbl>
    <w:p w:rsidR="006E292B" w:rsidRPr="005E7C55" w:rsidRDefault="006E292B" w:rsidP="005E7C55">
      <w:pPr>
        <w:spacing w:before="120" w:after="120"/>
        <w:rPr>
          <w:rFonts w:ascii="Arial" w:hAnsi="Arial" w:cs="Arial"/>
          <w:sz w:val="20"/>
          <w:szCs w:val="20"/>
        </w:rPr>
      </w:pPr>
    </w:p>
    <w:p w:rsidR="006E292B" w:rsidRPr="005E7C55" w:rsidRDefault="006E292B" w:rsidP="005E7C55">
      <w:pPr>
        <w:shd w:val="clear" w:color="auto" w:fill="FFFFFF"/>
        <w:spacing w:before="120" w:after="120" w:line="234" w:lineRule="atLeast"/>
        <w:jc w:val="center"/>
        <w:rPr>
          <w:rFonts w:ascii="Arial" w:eastAsia="Times New Roman" w:hAnsi="Arial" w:cs="Arial"/>
          <w:b/>
          <w:i/>
          <w:color w:val="666666"/>
          <w:sz w:val="20"/>
          <w:szCs w:val="20"/>
          <w:lang w:eastAsia="en-AU"/>
        </w:rPr>
      </w:pPr>
      <w:r w:rsidRPr="005E7C55">
        <w:rPr>
          <w:rFonts w:ascii="Arial" w:eastAsia="Times New Roman" w:hAnsi="Arial" w:cs="Arial"/>
          <w:b/>
          <w:i/>
          <w:color w:val="666666"/>
          <w:sz w:val="20"/>
          <w:szCs w:val="20"/>
          <w:lang w:eastAsia="en-AU"/>
        </w:rPr>
        <w:t>The causes of the floods which were active in Tasmania over the period 4 – 7 June 2016 including cloud-seeding, State-wide water storage management and debris management</w:t>
      </w:r>
    </w:p>
    <w:tbl>
      <w:tblPr>
        <w:tblStyle w:val="TableGrid"/>
        <w:tblW w:w="0" w:type="auto"/>
        <w:tblLook w:val="04A0" w:firstRow="1" w:lastRow="0" w:firstColumn="1" w:lastColumn="0" w:noHBand="0" w:noVBand="1"/>
      </w:tblPr>
      <w:tblGrid>
        <w:gridCol w:w="1207"/>
        <w:gridCol w:w="2025"/>
        <w:gridCol w:w="2574"/>
        <w:gridCol w:w="5470"/>
        <w:gridCol w:w="1434"/>
        <w:gridCol w:w="1238"/>
      </w:tblGrid>
      <w:tr w:rsidR="006E292B" w:rsidRPr="005E7C55" w:rsidTr="006E292B">
        <w:tc>
          <w:tcPr>
            <w:tcW w:w="1668"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Fund Year</w:t>
            </w:r>
          </w:p>
        </w:tc>
        <w:tc>
          <w:tcPr>
            <w:tcW w:w="2551"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Organisation</w:t>
            </w:r>
          </w:p>
        </w:tc>
        <w:tc>
          <w:tcPr>
            <w:tcW w:w="4111"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 xml:space="preserve">Project Name </w:t>
            </w:r>
          </w:p>
        </w:tc>
        <w:tc>
          <w:tcPr>
            <w:tcW w:w="9442"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 xml:space="preserve">Project Summary </w:t>
            </w:r>
          </w:p>
        </w:tc>
        <w:tc>
          <w:tcPr>
            <w:tcW w:w="1826"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 xml:space="preserve">Funding </w:t>
            </w:r>
          </w:p>
        </w:tc>
        <w:tc>
          <w:tcPr>
            <w:tcW w:w="1552"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Region</w:t>
            </w:r>
          </w:p>
        </w:tc>
      </w:tr>
      <w:tr w:rsidR="006E292B" w:rsidRPr="005E7C55" w:rsidTr="006E292B">
        <w:tc>
          <w:tcPr>
            <w:tcW w:w="1668" w:type="dxa"/>
          </w:tcPr>
          <w:p w:rsidR="006E292B" w:rsidRPr="005E7C55" w:rsidRDefault="00EA7EDB" w:rsidP="005E7C55">
            <w:pPr>
              <w:spacing w:before="120" w:after="120" w:line="234" w:lineRule="atLeast"/>
              <w:jc w:val="center"/>
              <w:rPr>
                <w:rFonts w:ascii="Arial" w:hAnsi="Arial" w:cs="Arial"/>
                <w:color w:val="666666"/>
              </w:rPr>
            </w:pPr>
            <w:r>
              <w:rPr>
                <w:rFonts w:ascii="Arial" w:hAnsi="Arial" w:cs="Arial"/>
                <w:color w:val="666666"/>
              </w:rPr>
              <w:t>-</w:t>
            </w:r>
          </w:p>
        </w:tc>
        <w:tc>
          <w:tcPr>
            <w:tcW w:w="2551" w:type="dxa"/>
          </w:tcPr>
          <w:p w:rsidR="006E292B" w:rsidRPr="005E7C55" w:rsidRDefault="00EA7EDB" w:rsidP="005E7C55">
            <w:pPr>
              <w:spacing w:before="120" w:after="120" w:line="234" w:lineRule="atLeast"/>
              <w:jc w:val="center"/>
              <w:rPr>
                <w:rFonts w:ascii="Arial" w:hAnsi="Arial" w:cs="Arial"/>
                <w:color w:val="666666"/>
              </w:rPr>
            </w:pPr>
            <w:r>
              <w:rPr>
                <w:rFonts w:ascii="Arial" w:hAnsi="Arial" w:cs="Arial"/>
                <w:color w:val="666666"/>
              </w:rPr>
              <w:t>-</w:t>
            </w:r>
          </w:p>
        </w:tc>
        <w:tc>
          <w:tcPr>
            <w:tcW w:w="4111" w:type="dxa"/>
          </w:tcPr>
          <w:p w:rsidR="006E292B" w:rsidRPr="005E7C55" w:rsidRDefault="00EA7EDB" w:rsidP="005E7C55">
            <w:pPr>
              <w:spacing w:before="120" w:after="120" w:line="234" w:lineRule="atLeast"/>
              <w:jc w:val="center"/>
              <w:rPr>
                <w:rFonts w:ascii="Arial" w:hAnsi="Arial" w:cs="Arial"/>
                <w:color w:val="666666"/>
              </w:rPr>
            </w:pPr>
            <w:r>
              <w:rPr>
                <w:rFonts w:ascii="Arial" w:hAnsi="Arial" w:cs="Arial"/>
                <w:color w:val="666666"/>
              </w:rPr>
              <w:t>-</w:t>
            </w:r>
          </w:p>
        </w:tc>
        <w:tc>
          <w:tcPr>
            <w:tcW w:w="9442" w:type="dxa"/>
          </w:tcPr>
          <w:p w:rsidR="006E292B" w:rsidRPr="005E7C55" w:rsidRDefault="00EA7EDB" w:rsidP="005E7C55">
            <w:pPr>
              <w:spacing w:before="120" w:after="120" w:line="234" w:lineRule="atLeast"/>
              <w:jc w:val="center"/>
              <w:rPr>
                <w:rFonts w:ascii="Arial" w:hAnsi="Arial" w:cs="Arial"/>
                <w:color w:val="666666"/>
              </w:rPr>
            </w:pPr>
            <w:r>
              <w:rPr>
                <w:rFonts w:ascii="Arial" w:hAnsi="Arial" w:cs="Arial"/>
                <w:color w:val="666666"/>
              </w:rPr>
              <w:t>-</w:t>
            </w:r>
          </w:p>
        </w:tc>
        <w:tc>
          <w:tcPr>
            <w:tcW w:w="1826" w:type="dxa"/>
          </w:tcPr>
          <w:p w:rsidR="006E292B" w:rsidRPr="005E7C55" w:rsidRDefault="00EA7EDB" w:rsidP="005E7C55">
            <w:pPr>
              <w:spacing w:before="120" w:after="120" w:line="234" w:lineRule="atLeast"/>
              <w:jc w:val="center"/>
              <w:rPr>
                <w:rFonts w:ascii="Arial" w:hAnsi="Arial" w:cs="Arial"/>
                <w:color w:val="666666"/>
              </w:rPr>
            </w:pPr>
            <w:r>
              <w:rPr>
                <w:rFonts w:ascii="Arial" w:hAnsi="Arial" w:cs="Arial"/>
                <w:color w:val="666666"/>
              </w:rPr>
              <w:t>-</w:t>
            </w:r>
          </w:p>
        </w:tc>
        <w:tc>
          <w:tcPr>
            <w:tcW w:w="1552" w:type="dxa"/>
          </w:tcPr>
          <w:p w:rsidR="006E292B" w:rsidRPr="005E7C55" w:rsidRDefault="00EA7EDB" w:rsidP="005E7C55">
            <w:pPr>
              <w:spacing w:before="120" w:after="120" w:line="234" w:lineRule="atLeast"/>
              <w:jc w:val="center"/>
              <w:rPr>
                <w:rFonts w:ascii="Arial" w:hAnsi="Arial" w:cs="Arial"/>
                <w:color w:val="666666"/>
              </w:rPr>
            </w:pPr>
            <w:r>
              <w:rPr>
                <w:rFonts w:ascii="Arial" w:hAnsi="Arial" w:cs="Arial"/>
                <w:color w:val="666666"/>
              </w:rPr>
              <w:t>-</w:t>
            </w:r>
          </w:p>
        </w:tc>
      </w:tr>
    </w:tbl>
    <w:p w:rsidR="006E292B" w:rsidRPr="005E7C55" w:rsidRDefault="006E292B" w:rsidP="005E7C55">
      <w:pPr>
        <w:spacing w:before="120" w:after="120"/>
        <w:rPr>
          <w:rFonts w:ascii="Arial" w:hAnsi="Arial" w:cs="Arial"/>
          <w:sz w:val="20"/>
          <w:szCs w:val="20"/>
        </w:rPr>
      </w:pPr>
    </w:p>
    <w:p w:rsidR="00EA7EDB" w:rsidRDefault="00EA7EDB">
      <w:pPr>
        <w:rPr>
          <w:rFonts w:ascii="Arial" w:eastAsia="Times New Roman" w:hAnsi="Arial" w:cs="Arial"/>
          <w:b/>
          <w:i/>
          <w:color w:val="666666"/>
          <w:sz w:val="20"/>
          <w:szCs w:val="20"/>
          <w:lang w:eastAsia="en-AU"/>
        </w:rPr>
      </w:pPr>
      <w:r>
        <w:rPr>
          <w:rFonts w:ascii="Arial" w:eastAsia="Times New Roman" w:hAnsi="Arial" w:cs="Arial"/>
          <w:b/>
          <w:i/>
          <w:color w:val="666666"/>
          <w:sz w:val="20"/>
          <w:szCs w:val="20"/>
          <w:lang w:eastAsia="en-AU"/>
        </w:rPr>
        <w:br w:type="page"/>
      </w:r>
    </w:p>
    <w:p w:rsidR="006E292B" w:rsidRPr="005E7C55" w:rsidRDefault="006E292B" w:rsidP="005E7C55">
      <w:pPr>
        <w:shd w:val="clear" w:color="auto" w:fill="FFFFFF"/>
        <w:spacing w:before="120" w:after="120" w:line="234" w:lineRule="atLeast"/>
        <w:jc w:val="center"/>
        <w:rPr>
          <w:rFonts w:ascii="Arial" w:eastAsia="Times New Roman" w:hAnsi="Arial" w:cs="Arial"/>
          <w:b/>
          <w:i/>
          <w:color w:val="666666"/>
          <w:sz w:val="20"/>
          <w:szCs w:val="20"/>
          <w:lang w:eastAsia="en-AU"/>
        </w:rPr>
      </w:pPr>
      <w:r w:rsidRPr="005E7C55">
        <w:rPr>
          <w:rFonts w:ascii="Arial" w:eastAsia="Times New Roman" w:hAnsi="Arial" w:cs="Arial"/>
          <w:b/>
          <w:i/>
          <w:color w:val="666666"/>
          <w:sz w:val="20"/>
          <w:szCs w:val="20"/>
          <w:lang w:eastAsia="en-AU"/>
        </w:rPr>
        <w:t>The use and efficacy of forecasting, community alerts, warnings and public information by authorities in responding to flood events</w:t>
      </w:r>
    </w:p>
    <w:p w:rsidR="006E292B" w:rsidRPr="005E7C55" w:rsidRDefault="006E292B" w:rsidP="005E7C55">
      <w:pPr>
        <w:shd w:val="clear" w:color="auto" w:fill="FFFFFF"/>
        <w:spacing w:before="120" w:after="120" w:line="234" w:lineRule="atLeast"/>
        <w:jc w:val="center"/>
        <w:rPr>
          <w:rFonts w:ascii="Arial" w:eastAsia="Times New Roman" w:hAnsi="Arial" w:cs="Arial"/>
          <w:b/>
          <w:color w:val="666666"/>
          <w:sz w:val="20"/>
          <w:szCs w:val="20"/>
          <w:lang w:eastAsia="en-AU"/>
        </w:rPr>
      </w:pPr>
    </w:p>
    <w:tbl>
      <w:tblPr>
        <w:tblStyle w:val="TableGrid"/>
        <w:tblW w:w="0" w:type="auto"/>
        <w:tblLook w:val="04A0" w:firstRow="1" w:lastRow="0" w:firstColumn="1" w:lastColumn="0" w:noHBand="0" w:noVBand="1"/>
      </w:tblPr>
      <w:tblGrid>
        <w:gridCol w:w="1175"/>
        <w:gridCol w:w="1973"/>
        <w:gridCol w:w="2767"/>
        <w:gridCol w:w="5432"/>
        <w:gridCol w:w="1395"/>
        <w:gridCol w:w="1206"/>
      </w:tblGrid>
      <w:tr w:rsidR="006E292B" w:rsidRPr="005E7C55" w:rsidTr="00EA7EDB">
        <w:tc>
          <w:tcPr>
            <w:tcW w:w="1175"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Fund Year</w:t>
            </w:r>
          </w:p>
        </w:tc>
        <w:tc>
          <w:tcPr>
            <w:tcW w:w="1973"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Organisation</w:t>
            </w:r>
          </w:p>
        </w:tc>
        <w:tc>
          <w:tcPr>
            <w:tcW w:w="2767"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 xml:space="preserve">Project Name </w:t>
            </w:r>
          </w:p>
        </w:tc>
        <w:tc>
          <w:tcPr>
            <w:tcW w:w="5432"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 xml:space="preserve">Project Summary </w:t>
            </w:r>
          </w:p>
        </w:tc>
        <w:tc>
          <w:tcPr>
            <w:tcW w:w="1395"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 xml:space="preserve">Funding </w:t>
            </w:r>
          </w:p>
        </w:tc>
        <w:tc>
          <w:tcPr>
            <w:tcW w:w="1206"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Region</w:t>
            </w:r>
          </w:p>
        </w:tc>
      </w:tr>
      <w:tr w:rsidR="00EA7EDB" w:rsidRPr="005E7C55" w:rsidTr="00EA7EDB">
        <w:tc>
          <w:tcPr>
            <w:tcW w:w="1175" w:type="dxa"/>
          </w:tcPr>
          <w:p w:rsidR="00EA7EDB" w:rsidRPr="005E7C55" w:rsidRDefault="00EA7EDB" w:rsidP="00EA7EDB">
            <w:pPr>
              <w:spacing w:before="120" w:after="120" w:line="234" w:lineRule="atLeast"/>
              <w:jc w:val="center"/>
              <w:rPr>
                <w:rFonts w:ascii="Arial" w:hAnsi="Arial" w:cs="Arial"/>
                <w:b/>
                <w:color w:val="666666"/>
              </w:rPr>
            </w:pPr>
            <w:r w:rsidRPr="005E7C55">
              <w:rPr>
                <w:rFonts w:ascii="Arial" w:hAnsi="Arial" w:cs="Arial"/>
                <w:color w:val="666666"/>
              </w:rPr>
              <w:t>2012-13</w:t>
            </w:r>
          </w:p>
        </w:tc>
        <w:tc>
          <w:tcPr>
            <w:tcW w:w="1973" w:type="dxa"/>
          </w:tcPr>
          <w:p w:rsidR="00EA7EDB" w:rsidRPr="00EA7EDB" w:rsidRDefault="00EA7EDB" w:rsidP="00EA7EDB">
            <w:pPr>
              <w:spacing w:before="120" w:after="120"/>
              <w:jc w:val="center"/>
              <w:rPr>
                <w:rFonts w:ascii="Arial" w:hAnsi="Arial" w:cs="Arial"/>
                <w:color w:val="666666"/>
              </w:rPr>
            </w:pPr>
            <w:r w:rsidRPr="005E7C55">
              <w:rPr>
                <w:rFonts w:ascii="Arial" w:hAnsi="Arial" w:cs="Arial"/>
                <w:color w:val="666666"/>
              </w:rPr>
              <w:t xml:space="preserve">Department of </w:t>
            </w:r>
            <w:r>
              <w:rPr>
                <w:rFonts w:ascii="Arial" w:hAnsi="Arial" w:cs="Arial"/>
                <w:color w:val="666666"/>
              </w:rPr>
              <w:t>Police and Emergency Management</w:t>
            </w:r>
          </w:p>
        </w:tc>
        <w:tc>
          <w:tcPr>
            <w:tcW w:w="2767" w:type="dxa"/>
          </w:tcPr>
          <w:p w:rsidR="00EA7EDB" w:rsidRPr="005E7C55" w:rsidRDefault="00EA7EDB" w:rsidP="00EA7EDB">
            <w:pPr>
              <w:spacing w:before="120" w:after="120" w:line="234" w:lineRule="atLeast"/>
              <w:jc w:val="center"/>
              <w:rPr>
                <w:rFonts w:ascii="Arial" w:hAnsi="Arial" w:cs="Arial"/>
                <w:b/>
                <w:color w:val="666666"/>
              </w:rPr>
            </w:pPr>
            <w:r w:rsidRPr="005E7C55">
              <w:rPr>
                <w:rFonts w:ascii="Arial" w:hAnsi="Arial" w:cs="Arial"/>
                <w:color w:val="666666"/>
              </w:rPr>
              <w:t>Emergency information Management and Sharing Project (EIMSP</w:t>
            </w:r>
          </w:p>
        </w:tc>
        <w:tc>
          <w:tcPr>
            <w:tcW w:w="5432" w:type="dxa"/>
          </w:tcPr>
          <w:p w:rsidR="00EA7EDB" w:rsidRPr="005E7C55" w:rsidRDefault="00EA7EDB" w:rsidP="00EA7EDB">
            <w:pPr>
              <w:spacing w:before="120" w:after="120"/>
              <w:jc w:val="center"/>
              <w:rPr>
                <w:rFonts w:ascii="Arial" w:hAnsi="Arial" w:cs="Arial"/>
                <w:color w:val="666666"/>
              </w:rPr>
            </w:pPr>
            <w:r>
              <w:rPr>
                <w:rFonts w:ascii="Arial" w:hAnsi="Arial" w:cs="Arial"/>
                <w:color w:val="666666"/>
              </w:rPr>
              <w:t>T</w:t>
            </w:r>
            <w:r w:rsidRPr="005E7C55">
              <w:rPr>
                <w:rFonts w:ascii="Arial" w:hAnsi="Arial" w:cs="Arial"/>
                <w:color w:val="666666"/>
              </w:rPr>
              <w:t xml:space="preserve">he acquisition of a software tool that can be used by agencies for the management of information relating to prevention, preparedness, response and recovery. </w:t>
            </w:r>
          </w:p>
          <w:p w:rsidR="00EA7EDB" w:rsidRPr="005E7C55" w:rsidRDefault="00EA7EDB" w:rsidP="00EA7EDB">
            <w:pPr>
              <w:spacing w:before="120" w:after="120" w:line="234" w:lineRule="atLeast"/>
              <w:jc w:val="center"/>
              <w:rPr>
                <w:rFonts w:ascii="Arial" w:hAnsi="Arial" w:cs="Arial"/>
                <w:b/>
                <w:color w:val="666666"/>
              </w:rPr>
            </w:pPr>
          </w:p>
        </w:tc>
        <w:tc>
          <w:tcPr>
            <w:tcW w:w="1395" w:type="dxa"/>
          </w:tcPr>
          <w:p w:rsidR="00EA7EDB" w:rsidRPr="005E7C55" w:rsidRDefault="00EA7EDB" w:rsidP="00EA7EDB">
            <w:pPr>
              <w:spacing w:before="120" w:after="120"/>
              <w:jc w:val="center"/>
              <w:rPr>
                <w:rFonts w:ascii="Arial" w:hAnsi="Arial" w:cs="Arial"/>
                <w:color w:val="666666"/>
              </w:rPr>
            </w:pPr>
            <w:r w:rsidRPr="005E7C55">
              <w:rPr>
                <w:rFonts w:ascii="Arial" w:hAnsi="Arial" w:cs="Arial"/>
                <w:color w:val="666666"/>
              </w:rPr>
              <w:t>$196,190</w:t>
            </w:r>
          </w:p>
          <w:p w:rsidR="00EA7EDB" w:rsidRPr="005E7C55" w:rsidRDefault="00EA7EDB" w:rsidP="00EA7EDB">
            <w:pPr>
              <w:spacing w:before="120" w:after="120" w:line="234" w:lineRule="atLeast"/>
              <w:jc w:val="center"/>
              <w:rPr>
                <w:rFonts w:ascii="Arial" w:hAnsi="Arial" w:cs="Arial"/>
                <w:b/>
                <w:color w:val="666666"/>
              </w:rPr>
            </w:pPr>
          </w:p>
        </w:tc>
        <w:tc>
          <w:tcPr>
            <w:tcW w:w="1206" w:type="dxa"/>
          </w:tcPr>
          <w:p w:rsidR="00EA7EDB" w:rsidRPr="005E7C55" w:rsidRDefault="00EA7EDB" w:rsidP="00EA7EDB">
            <w:pPr>
              <w:spacing w:before="120" w:after="120" w:line="234" w:lineRule="atLeast"/>
              <w:jc w:val="center"/>
              <w:rPr>
                <w:rFonts w:ascii="Arial" w:hAnsi="Arial" w:cs="Arial"/>
                <w:b/>
                <w:color w:val="666666"/>
              </w:rPr>
            </w:pPr>
            <w:r w:rsidRPr="005E7C55">
              <w:rPr>
                <w:rFonts w:ascii="Arial" w:hAnsi="Arial" w:cs="Arial"/>
                <w:color w:val="666666"/>
              </w:rPr>
              <w:t>State</w:t>
            </w:r>
          </w:p>
        </w:tc>
      </w:tr>
      <w:tr w:rsidR="006E292B" w:rsidRPr="005E7C55" w:rsidTr="00EA7EDB">
        <w:tc>
          <w:tcPr>
            <w:tcW w:w="1175"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2014-15</w:t>
            </w:r>
          </w:p>
        </w:tc>
        <w:tc>
          <w:tcPr>
            <w:tcW w:w="1973" w:type="dxa"/>
          </w:tcPr>
          <w:p w:rsidR="006E292B" w:rsidRPr="005E7C55" w:rsidRDefault="00EA7EDB" w:rsidP="00EA7EDB">
            <w:pPr>
              <w:spacing w:before="120" w:after="120"/>
              <w:jc w:val="center"/>
              <w:rPr>
                <w:rFonts w:ascii="Arial" w:hAnsi="Arial" w:cs="Arial"/>
                <w:color w:val="666666"/>
              </w:rPr>
            </w:pPr>
            <w:r w:rsidRPr="005E7C55">
              <w:rPr>
                <w:rFonts w:ascii="Arial" w:hAnsi="Arial" w:cs="Arial"/>
                <w:color w:val="666666"/>
              </w:rPr>
              <w:t xml:space="preserve">Department of </w:t>
            </w:r>
            <w:r>
              <w:rPr>
                <w:rFonts w:ascii="Arial" w:hAnsi="Arial" w:cs="Arial"/>
                <w:color w:val="666666"/>
              </w:rPr>
              <w:t>Police and Emergency Management</w:t>
            </w:r>
          </w:p>
        </w:tc>
        <w:tc>
          <w:tcPr>
            <w:tcW w:w="2767"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Emergency Information Management and Sharing Project</w:t>
            </w:r>
          </w:p>
        </w:tc>
        <w:tc>
          <w:tcPr>
            <w:tcW w:w="5432"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(granted funding in 2012-13 round)</w:t>
            </w:r>
          </w:p>
        </w:tc>
        <w:tc>
          <w:tcPr>
            <w:tcW w:w="1395"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$55,898 (year 2)</w:t>
            </w:r>
          </w:p>
        </w:tc>
        <w:tc>
          <w:tcPr>
            <w:tcW w:w="1206"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State</w:t>
            </w:r>
          </w:p>
        </w:tc>
      </w:tr>
      <w:tr w:rsidR="006E292B" w:rsidRPr="005E7C55" w:rsidTr="00EA7EDB">
        <w:tc>
          <w:tcPr>
            <w:tcW w:w="1175"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2014-15</w:t>
            </w:r>
          </w:p>
        </w:tc>
        <w:tc>
          <w:tcPr>
            <w:tcW w:w="1973"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Tasmanian Visitor Information Network</w:t>
            </w:r>
          </w:p>
        </w:tc>
        <w:tc>
          <w:tcPr>
            <w:tcW w:w="2767"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Emergency Preparedness Program</w:t>
            </w:r>
          </w:p>
        </w:tc>
        <w:tc>
          <w:tcPr>
            <w:tcW w:w="5432"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 xml:space="preserve">The project will enable Tasmanian Visitor Information Centre staff to acquire the knowledge and be better equipped to effectively deliver emergency and disaster related information to visitors to the State. </w:t>
            </w:r>
          </w:p>
        </w:tc>
        <w:tc>
          <w:tcPr>
            <w:tcW w:w="1395"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$34,817</w:t>
            </w:r>
          </w:p>
        </w:tc>
        <w:tc>
          <w:tcPr>
            <w:tcW w:w="1206"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State</w:t>
            </w:r>
          </w:p>
        </w:tc>
      </w:tr>
      <w:tr w:rsidR="006E292B" w:rsidRPr="005E7C55" w:rsidTr="00EA7EDB">
        <w:tc>
          <w:tcPr>
            <w:tcW w:w="1175"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2014-15</w:t>
            </w:r>
          </w:p>
        </w:tc>
        <w:tc>
          <w:tcPr>
            <w:tcW w:w="1973"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Dept. of Premier and Cabinet</w:t>
            </w:r>
          </w:p>
        </w:tc>
        <w:tc>
          <w:tcPr>
            <w:tcW w:w="2767"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Enhancements to TasALERT</w:t>
            </w:r>
          </w:p>
        </w:tc>
        <w:tc>
          <w:tcPr>
            <w:tcW w:w="5432"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 xml:space="preserve">The Project will focus on delivering improvements through a second phase of development to TasALERT.  The Project is a result of a series of recommendations that came from use in recent minor emergencies and a specifically designed exercise to evaluate the first phase of TasALERT. </w:t>
            </w:r>
          </w:p>
        </w:tc>
        <w:tc>
          <w:tcPr>
            <w:tcW w:w="1395"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$80,000</w:t>
            </w:r>
          </w:p>
        </w:tc>
        <w:tc>
          <w:tcPr>
            <w:tcW w:w="1206"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State</w:t>
            </w:r>
          </w:p>
        </w:tc>
      </w:tr>
    </w:tbl>
    <w:p w:rsidR="006E292B" w:rsidRPr="005E7C55" w:rsidRDefault="006E292B" w:rsidP="005E7C55">
      <w:pPr>
        <w:shd w:val="clear" w:color="auto" w:fill="FFFFFF"/>
        <w:spacing w:before="120" w:after="120" w:line="234" w:lineRule="atLeast"/>
        <w:jc w:val="center"/>
        <w:rPr>
          <w:rFonts w:ascii="Arial" w:eastAsia="Times New Roman" w:hAnsi="Arial" w:cs="Arial"/>
          <w:b/>
          <w:color w:val="666666"/>
          <w:sz w:val="20"/>
          <w:szCs w:val="20"/>
          <w:lang w:eastAsia="en-AU"/>
        </w:rPr>
      </w:pPr>
    </w:p>
    <w:p w:rsidR="006E292B" w:rsidRPr="005E7C55" w:rsidRDefault="006E292B" w:rsidP="005E7C55">
      <w:pPr>
        <w:shd w:val="clear" w:color="auto" w:fill="FFFFFF"/>
        <w:spacing w:before="120" w:after="120" w:line="234" w:lineRule="atLeast"/>
        <w:jc w:val="center"/>
        <w:rPr>
          <w:rFonts w:ascii="Arial" w:eastAsia="Times New Roman" w:hAnsi="Arial" w:cs="Arial"/>
          <w:b/>
          <w:color w:val="666666"/>
          <w:sz w:val="20"/>
          <w:szCs w:val="20"/>
          <w:lang w:eastAsia="en-AU"/>
        </w:rPr>
      </w:pPr>
    </w:p>
    <w:p w:rsidR="006E292B" w:rsidRPr="005E7C55" w:rsidRDefault="006E292B" w:rsidP="005E7C55">
      <w:pPr>
        <w:shd w:val="clear" w:color="auto" w:fill="FFFFFF"/>
        <w:spacing w:before="120" w:after="120" w:line="234" w:lineRule="atLeast"/>
        <w:jc w:val="center"/>
        <w:rPr>
          <w:rFonts w:ascii="Arial" w:eastAsia="Times New Roman" w:hAnsi="Arial" w:cs="Arial"/>
          <w:b/>
          <w:color w:val="666666"/>
          <w:sz w:val="20"/>
          <w:szCs w:val="20"/>
          <w:lang w:eastAsia="en-AU"/>
        </w:rPr>
      </w:pPr>
    </w:p>
    <w:p w:rsidR="00EA7EDB" w:rsidRDefault="00EA7EDB">
      <w:pPr>
        <w:rPr>
          <w:rFonts w:ascii="Arial" w:eastAsia="Times New Roman" w:hAnsi="Arial" w:cs="Arial"/>
          <w:b/>
          <w:i/>
          <w:color w:val="666666"/>
          <w:sz w:val="20"/>
          <w:szCs w:val="20"/>
          <w:lang w:eastAsia="en-AU"/>
        </w:rPr>
      </w:pPr>
      <w:r>
        <w:rPr>
          <w:rFonts w:ascii="Arial" w:eastAsia="Times New Roman" w:hAnsi="Arial" w:cs="Arial"/>
          <w:b/>
          <w:i/>
          <w:color w:val="666666"/>
          <w:sz w:val="20"/>
          <w:szCs w:val="20"/>
          <w:lang w:eastAsia="en-AU"/>
        </w:rPr>
        <w:br w:type="page"/>
      </w:r>
    </w:p>
    <w:p w:rsidR="006E292B" w:rsidRPr="005E7C55" w:rsidRDefault="006E292B" w:rsidP="005E7C55">
      <w:pPr>
        <w:shd w:val="clear" w:color="auto" w:fill="FFFFFF"/>
        <w:spacing w:before="120" w:after="120" w:line="234" w:lineRule="atLeast"/>
        <w:jc w:val="center"/>
        <w:rPr>
          <w:rFonts w:ascii="Arial" w:eastAsia="Times New Roman" w:hAnsi="Arial" w:cs="Arial"/>
          <w:b/>
          <w:i/>
          <w:color w:val="666666"/>
          <w:sz w:val="20"/>
          <w:szCs w:val="20"/>
          <w:lang w:eastAsia="en-AU"/>
        </w:rPr>
      </w:pPr>
      <w:r w:rsidRPr="005E7C55">
        <w:rPr>
          <w:rFonts w:ascii="Arial" w:eastAsia="Times New Roman" w:hAnsi="Arial" w:cs="Arial"/>
          <w:b/>
          <w:i/>
          <w:color w:val="666666"/>
          <w:sz w:val="20"/>
          <w:szCs w:val="20"/>
          <w:lang w:eastAsia="en-AU"/>
        </w:rPr>
        <w:t>The effectiveness of transition from response to recovery in the week following the June floods; including capacity and priorities for infrastructure repair, and immediate assistance payments</w:t>
      </w:r>
    </w:p>
    <w:tbl>
      <w:tblPr>
        <w:tblStyle w:val="TableGrid"/>
        <w:tblW w:w="0" w:type="auto"/>
        <w:tblLook w:val="04A0" w:firstRow="1" w:lastRow="0" w:firstColumn="1" w:lastColumn="0" w:noHBand="0" w:noVBand="1"/>
      </w:tblPr>
      <w:tblGrid>
        <w:gridCol w:w="1159"/>
        <w:gridCol w:w="1955"/>
        <w:gridCol w:w="2556"/>
        <w:gridCol w:w="5700"/>
        <w:gridCol w:w="1382"/>
        <w:gridCol w:w="1196"/>
      </w:tblGrid>
      <w:tr w:rsidR="006E292B" w:rsidRPr="005E7C55" w:rsidTr="006E292B">
        <w:tc>
          <w:tcPr>
            <w:tcW w:w="1668"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Fund Year</w:t>
            </w:r>
          </w:p>
        </w:tc>
        <w:tc>
          <w:tcPr>
            <w:tcW w:w="2551"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Organisation</w:t>
            </w:r>
          </w:p>
        </w:tc>
        <w:tc>
          <w:tcPr>
            <w:tcW w:w="4111"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 xml:space="preserve">Project Name </w:t>
            </w:r>
          </w:p>
        </w:tc>
        <w:tc>
          <w:tcPr>
            <w:tcW w:w="9442"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 xml:space="preserve">Project Summary </w:t>
            </w:r>
          </w:p>
        </w:tc>
        <w:tc>
          <w:tcPr>
            <w:tcW w:w="1826"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 xml:space="preserve">Funding </w:t>
            </w:r>
          </w:p>
        </w:tc>
        <w:tc>
          <w:tcPr>
            <w:tcW w:w="1552" w:type="dxa"/>
          </w:tcPr>
          <w:p w:rsidR="006E292B" w:rsidRPr="005E7C55" w:rsidRDefault="006E292B" w:rsidP="005E7C55">
            <w:pPr>
              <w:spacing w:before="120" w:after="120" w:line="234" w:lineRule="atLeast"/>
              <w:jc w:val="center"/>
              <w:rPr>
                <w:rFonts w:ascii="Arial" w:hAnsi="Arial" w:cs="Arial"/>
                <w:b/>
                <w:color w:val="666666"/>
              </w:rPr>
            </w:pPr>
            <w:r w:rsidRPr="005E7C55">
              <w:rPr>
                <w:rFonts w:ascii="Arial" w:hAnsi="Arial" w:cs="Arial"/>
                <w:b/>
                <w:color w:val="666666"/>
              </w:rPr>
              <w:t>Region</w:t>
            </w:r>
          </w:p>
        </w:tc>
      </w:tr>
      <w:tr w:rsidR="006E292B" w:rsidRPr="005E7C55" w:rsidTr="006E292B">
        <w:tc>
          <w:tcPr>
            <w:tcW w:w="1668"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2014-15</w:t>
            </w:r>
          </w:p>
        </w:tc>
        <w:tc>
          <w:tcPr>
            <w:tcW w:w="2551"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Dept. of Premier and Cabinet</w:t>
            </w:r>
          </w:p>
        </w:tc>
        <w:tc>
          <w:tcPr>
            <w:tcW w:w="4111"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Disaster Planning and Recovery for Tasmanian Businesses</w:t>
            </w:r>
          </w:p>
        </w:tc>
        <w:tc>
          <w:tcPr>
            <w:tcW w:w="9442"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This project will develop Tasmanian specific disaster planning and recovery resources including checklists, industry-specific information and guidance materials that will be housed on www.business.tas.gov.au. The Project also includes workshops with relevant stakeholders to assist them with using and promoting the resources.</w:t>
            </w:r>
          </w:p>
        </w:tc>
        <w:tc>
          <w:tcPr>
            <w:tcW w:w="1826"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$30,000</w:t>
            </w:r>
          </w:p>
        </w:tc>
        <w:tc>
          <w:tcPr>
            <w:tcW w:w="1552" w:type="dxa"/>
          </w:tcPr>
          <w:p w:rsidR="006E292B" w:rsidRPr="005E7C55" w:rsidRDefault="006E292B" w:rsidP="005E7C55">
            <w:pPr>
              <w:spacing w:before="120" w:after="120" w:line="234" w:lineRule="atLeast"/>
              <w:jc w:val="center"/>
              <w:rPr>
                <w:rFonts w:ascii="Arial" w:hAnsi="Arial" w:cs="Arial"/>
                <w:color w:val="666666"/>
              </w:rPr>
            </w:pPr>
            <w:r w:rsidRPr="005E7C55">
              <w:rPr>
                <w:rFonts w:ascii="Arial" w:hAnsi="Arial" w:cs="Arial"/>
                <w:color w:val="666666"/>
              </w:rPr>
              <w:t>State</w:t>
            </w:r>
          </w:p>
        </w:tc>
      </w:tr>
    </w:tbl>
    <w:p w:rsidR="006E292B" w:rsidRPr="005E7C55" w:rsidRDefault="006E292B" w:rsidP="006720A3">
      <w:pPr>
        <w:shd w:val="clear" w:color="auto" w:fill="FFFFFF"/>
        <w:spacing w:before="100" w:beforeAutospacing="1" w:after="100" w:afterAutospacing="1" w:line="234" w:lineRule="atLeast"/>
        <w:ind w:left="360"/>
        <w:rPr>
          <w:rFonts w:ascii="Arial" w:eastAsia="Times New Roman" w:hAnsi="Arial" w:cs="Arial"/>
          <w:sz w:val="20"/>
          <w:szCs w:val="20"/>
          <w:lang w:eastAsia="en-AU"/>
        </w:rPr>
      </w:pPr>
    </w:p>
    <w:p w:rsidR="00722A1D" w:rsidRDefault="00722A1D"/>
    <w:sectPr w:rsidR="00722A1D" w:rsidSect="00E60647">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E19" w:rsidRDefault="00CD5E19" w:rsidP="00876135">
      <w:pPr>
        <w:spacing w:after="0" w:line="240" w:lineRule="auto"/>
      </w:pPr>
      <w:r>
        <w:separator/>
      </w:r>
    </w:p>
  </w:endnote>
  <w:endnote w:type="continuationSeparator" w:id="0">
    <w:p w:rsidR="00CD5E19" w:rsidRDefault="00CD5E19" w:rsidP="00876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605836"/>
      <w:docPartObj>
        <w:docPartGallery w:val="Page Numbers (Bottom of Page)"/>
        <w:docPartUnique/>
      </w:docPartObj>
    </w:sdtPr>
    <w:sdtEndPr>
      <w:rPr>
        <w:noProof/>
      </w:rPr>
    </w:sdtEndPr>
    <w:sdtContent>
      <w:p w:rsidR="00FC34C2" w:rsidRDefault="00FC34C2">
        <w:pPr>
          <w:pStyle w:val="Footer"/>
          <w:jc w:val="center"/>
        </w:pPr>
        <w:r>
          <w:fldChar w:fldCharType="begin"/>
        </w:r>
        <w:r>
          <w:instrText xml:space="preserve"> PAGE   \* MERGEFORMAT </w:instrText>
        </w:r>
        <w:r>
          <w:fldChar w:fldCharType="separate"/>
        </w:r>
        <w:r w:rsidR="00F12E50">
          <w:rPr>
            <w:noProof/>
          </w:rPr>
          <w:t>1</w:t>
        </w:r>
        <w:r>
          <w:rPr>
            <w:noProof/>
          </w:rPr>
          <w:fldChar w:fldCharType="end"/>
        </w:r>
      </w:p>
    </w:sdtContent>
  </w:sdt>
  <w:p w:rsidR="00FC34C2" w:rsidRPr="001B7CD0" w:rsidRDefault="00FC34C2" w:rsidP="0031048A">
    <w:pPr>
      <w:pStyle w:val="Footer"/>
      <w:tabs>
        <w:tab w:val="clear" w:pos="8306"/>
        <w:tab w:val="right" w:pos="9360"/>
      </w:tabs>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4C2" w:rsidRDefault="00FC34C2" w:rsidP="00876135">
    <w:pPr>
      <w:pStyle w:val="Footer"/>
      <w:tabs>
        <w:tab w:val="clear" w:pos="8306"/>
        <w:tab w:val="right" w:pos="9360"/>
      </w:tabs>
      <w:rPr>
        <w:sz w:val="18"/>
        <w:szCs w:val="18"/>
      </w:rPr>
    </w:pPr>
  </w:p>
  <w:p w:rsidR="00FC34C2" w:rsidRPr="001B7CD0" w:rsidRDefault="00FC34C2" w:rsidP="0031048A">
    <w:pPr>
      <w:pStyle w:val="Footer"/>
      <w:tabs>
        <w:tab w:val="clear" w:pos="8306"/>
        <w:tab w:val="right" w:pos="9360"/>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E19" w:rsidRDefault="00CD5E19" w:rsidP="00876135">
      <w:pPr>
        <w:spacing w:after="0" w:line="240" w:lineRule="auto"/>
      </w:pPr>
      <w:r>
        <w:separator/>
      </w:r>
    </w:p>
  </w:footnote>
  <w:footnote w:type="continuationSeparator" w:id="0">
    <w:p w:rsidR="00CD5E19" w:rsidRDefault="00CD5E19" w:rsidP="008761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443EF"/>
    <w:multiLevelType w:val="hybridMultilevel"/>
    <w:tmpl w:val="AD483C66"/>
    <w:lvl w:ilvl="0" w:tplc="B79E62D4">
      <w:start w:val="1"/>
      <w:numFmt w:val="bullet"/>
      <w:pStyle w:val="textboxbullet"/>
      <w:lvlText w:val="•"/>
      <w:lvlJc w:val="left"/>
      <w:pPr>
        <w:tabs>
          <w:tab w:val="num" w:pos="964"/>
        </w:tabs>
        <w:ind w:left="964" w:hanging="284"/>
      </w:pPr>
      <w:rPr>
        <w:rFonts w:ascii="Arial" w:hAnsi="Arial" w:cs="Times New Roman" w:hint="default"/>
        <w:b w:val="0"/>
        <w:i w:val="0"/>
        <w:color w:val="auto"/>
        <w:sz w:val="16"/>
      </w:rPr>
    </w:lvl>
    <w:lvl w:ilvl="1" w:tplc="00030409">
      <w:start w:val="1"/>
      <w:numFmt w:val="bullet"/>
      <w:lvlText w:val="o"/>
      <w:lvlJc w:val="left"/>
      <w:pPr>
        <w:tabs>
          <w:tab w:val="num" w:pos="2120"/>
        </w:tabs>
        <w:ind w:left="2120" w:hanging="360"/>
      </w:pPr>
      <w:rPr>
        <w:rFonts w:ascii="Courier New" w:hAnsi="Courier New" w:cs="Times New Roman" w:hint="default"/>
      </w:rPr>
    </w:lvl>
    <w:lvl w:ilvl="2" w:tplc="00050409">
      <w:start w:val="1"/>
      <w:numFmt w:val="bullet"/>
      <w:lvlText w:val=""/>
      <w:lvlJc w:val="left"/>
      <w:pPr>
        <w:tabs>
          <w:tab w:val="num" w:pos="2840"/>
        </w:tabs>
        <w:ind w:left="2840" w:hanging="360"/>
      </w:pPr>
      <w:rPr>
        <w:rFonts w:ascii="Wingdings" w:hAnsi="Wingdings" w:hint="default"/>
      </w:rPr>
    </w:lvl>
    <w:lvl w:ilvl="3" w:tplc="00010409">
      <w:start w:val="1"/>
      <w:numFmt w:val="bullet"/>
      <w:lvlText w:val=""/>
      <w:lvlJc w:val="left"/>
      <w:pPr>
        <w:tabs>
          <w:tab w:val="num" w:pos="3560"/>
        </w:tabs>
        <w:ind w:left="3560" w:hanging="360"/>
      </w:pPr>
      <w:rPr>
        <w:rFonts w:ascii="Symbol" w:hAnsi="Symbol" w:hint="default"/>
      </w:rPr>
    </w:lvl>
    <w:lvl w:ilvl="4" w:tplc="00030409">
      <w:start w:val="1"/>
      <w:numFmt w:val="bullet"/>
      <w:lvlText w:val="o"/>
      <w:lvlJc w:val="left"/>
      <w:pPr>
        <w:tabs>
          <w:tab w:val="num" w:pos="4280"/>
        </w:tabs>
        <w:ind w:left="4280" w:hanging="360"/>
      </w:pPr>
      <w:rPr>
        <w:rFonts w:ascii="Courier New" w:hAnsi="Courier New" w:cs="Times New Roman" w:hint="default"/>
      </w:rPr>
    </w:lvl>
    <w:lvl w:ilvl="5" w:tplc="00050409">
      <w:start w:val="1"/>
      <w:numFmt w:val="bullet"/>
      <w:lvlText w:val=""/>
      <w:lvlJc w:val="left"/>
      <w:pPr>
        <w:tabs>
          <w:tab w:val="num" w:pos="5000"/>
        </w:tabs>
        <w:ind w:left="5000" w:hanging="360"/>
      </w:pPr>
      <w:rPr>
        <w:rFonts w:ascii="Wingdings" w:hAnsi="Wingdings" w:hint="default"/>
      </w:rPr>
    </w:lvl>
    <w:lvl w:ilvl="6" w:tplc="00010409">
      <w:start w:val="1"/>
      <w:numFmt w:val="bullet"/>
      <w:lvlText w:val=""/>
      <w:lvlJc w:val="left"/>
      <w:pPr>
        <w:tabs>
          <w:tab w:val="num" w:pos="5720"/>
        </w:tabs>
        <w:ind w:left="5720" w:hanging="360"/>
      </w:pPr>
      <w:rPr>
        <w:rFonts w:ascii="Symbol" w:hAnsi="Symbol" w:hint="default"/>
      </w:rPr>
    </w:lvl>
    <w:lvl w:ilvl="7" w:tplc="00030409">
      <w:start w:val="1"/>
      <w:numFmt w:val="bullet"/>
      <w:lvlText w:val="o"/>
      <w:lvlJc w:val="left"/>
      <w:pPr>
        <w:tabs>
          <w:tab w:val="num" w:pos="6440"/>
        </w:tabs>
        <w:ind w:left="6440" w:hanging="360"/>
      </w:pPr>
      <w:rPr>
        <w:rFonts w:ascii="Courier New" w:hAnsi="Courier New" w:cs="Times New Roman" w:hint="default"/>
      </w:rPr>
    </w:lvl>
    <w:lvl w:ilvl="8" w:tplc="00050409">
      <w:start w:val="1"/>
      <w:numFmt w:val="bullet"/>
      <w:lvlText w:val=""/>
      <w:lvlJc w:val="left"/>
      <w:pPr>
        <w:tabs>
          <w:tab w:val="num" w:pos="7160"/>
        </w:tabs>
        <w:ind w:left="7160" w:hanging="360"/>
      </w:pPr>
      <w:rPr>
        <w:rFonts w:ascii="Wingdings" w:hAnsi="Wingdings" w:hint="default"/>
      </w:rPr>
    </w:lvl>
  </w:abstractNum>
  <w:abstractNum w:abstractNumId="1" w15:restartNumberingAfterBreak="0">
    <w:nsid w:val="073A6624"/>
    <w:multiLevelType w:val="hybridMultilevel"/>
    <w:tmpl w:val="A63006B4"/>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7806BEF"/>
    <w:multiLevelType w:val="hybridMultilevel"/>
    <w:tmpl w:val="22F45A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8502245"/>
    <w:multiLevelType w:val="multilevel"/>
    <w:tmpl w:val="8E54C302"/>
    <w:numStyleLink w:val="RowNumber"/>
  </w:abstractNum>
  <w:abstractNum w:abstractNumId="4" w15:restartNumberingAfterBreak="0">
    <w:nsid w:val="089E3C90"/>
    <w:multiLevelType w:val="hybridMultilevel"/>
    <w:tmpl w:val="1FAAFCDC"/>
    <w:lvl w:ilvl="0" w:tplc="66485C80">
      <w:start w:val="2"/>
      <w:numFmt w:val="lowerLetter"/>
      <w:lvlText w:val="%1."/>
      <w:lvlJc w:val="left"/>
      <w:pPr>
        <w:ind w:left="14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924A77"/>
    <w:multiLevelType w:val="hybridMultilevel"/>
    <w:tmpl w:val="0A48E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E91433"/>
    <w:multiLevelType w:val="hybridMultilevel"/>
    <w:tmpl w:val="319EC8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CF67E02"/>
    <w:multiLevelType w:val="hybridMultilevel"/>
    <w:tmpl w:val="F0906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EC169B"/>
    <w:multiLevelType w:val="hybridMultilevel"/>
    <w:tmpl w:val="EC865B28"/>
    <w:lvl w:ilvl="0" w:tplc="2856F91A">
      <w:start w:val="3"/>
      <w:numFmt w:val="lowerLetter"/>
      <w:lvlText w:val="%1."/>
      <w:lvlJc w:val="left"/>
      <w:pPr>
        <w:ind w:left="14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ED49FB"/>
    <w:multiLevelType w:val="hybridMultilevel"/>
    <w:tmpl w:val="D7B6FE6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1076354"/>
    <w:multiLevelType w:val="hybridMultilevel"/>
    <w:tmpl w:val="D110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B959C4"/>
    <w:multiLevelType w:val="hybridMultilevel"/>
    <w:tmpl w:val="EF0677B0"/>
    <w:lvl w:ilvl="0" w:tplc="0C090017">
      <w:start w:val="1"/>
      <w:numFmt w:val="lowerLetter"/>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15:restartNumberingAfterBreak="0">
    <w:nsid w:val="13D20153"/>
    <w:multiLevelType w:val="hybridMultilevel"/>
    <w:tmpl w:val="ED8CD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DD643A"/>
    <w:multiLevelType w:val="hybridMultilevel"/>
    <w:tmpl w:val="BE5C7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9687135"/>
    <w:multiLevelType w:val="multilevel"/>
    <w:tmpl w:val="8E54C302"/>
    <w:styleLink w:val="RowNumber"/>
    <w:lvl w:ilvl="0">
      <w:start w:val="1"/>
      <w:numFmt w:val="decimal"/>
      <w:suff w:val="nothing"/>
      <w:lvlText w:val="%1"/>
      <w:lvlJc w:val="left"/>
      <w:pPr>
        <w:ind w:left="360" w:hanging="360"/>
      </w:pPr>
      <w:rPr>
        <w:rFonts w:ascii="Century Gothic" w:hAnsi="Century Gothic"/>
        <w:sz w:val="18"/>
        <w:szCs w:val="18"/>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9AF041D"/>
    <w:multiLevelType w:val="hybridMultilevel"/>
    <w:tmpl w:val="022467BE"/>
    <w:lvl w:ilvl="0" w:tplc="0C090019">
      <w:start w:val="1"/>
      <w:numFmt w:val="lowerLetter"/>
      <w:lvlText w:val="%1."/>
      <w:lvlJc w:val="left"/>
      <w:pPr>
        <w:ind w:left="216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15:restartNumberingAfterBreak="0">
    <w:nsid w:val="19C00060"/>
    <w:multiLevelType w:val="hybridMultilevel"/>
    <w:tmpl w:val="281AB4A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1F4855E8"/>
    <w:multiLevelType w:val="hybridMultilevel"/>
    <w:tmpl w:val="CE2E56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2386412"/>
    <w:multiLevelType w:val="hybridMultilevel"/>
    <w:tmpl w:val="B60EE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2971F8"/>
    <w:multiLevelType w:val="hybridMultilevel"/>
    <w:tmpl w:val="33DAB51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89B6FD4"/>
    <w:multiLevelType w:val="hybridMultilevel"/>
    <w:tmpl w:val="DE0E82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9B708E2"/>
    <w:multiLevelType w:val="multilevel"/>
    <w:tmpl w:val="17043B32"/>
    <w:styleLink w:val="RomanNumbering"/>
    <w:lvl w:ilvl="0">
      <w:start w:val="1"/>
      <w:numFmt w:val="lowerRoman"/>
      <w:lvlText w:val="%1"/>
      <w:lvlJc w:val="left"/>
      <w:pPr>
        <w:tabs>
          <w:tab w:val="num" w:pos="1701"/>
        </w:tabs>
        <w:ind w:left="1701"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B284C7E"/>
    <w:multiLevelType w:val="hybridMultilevel"/>
    <w:tmpl w:val="7C928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203ABB"/>
    <w:multiLevelType w:val="hybridMultilevel"/>
    <w:tmpl w:val="B282A4D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313B4E6B"/>
    <w:multiLevelType w:val="multilevel"/>
    <w:tmpl w:val="16B0C800"/>
    <w:styleLink w:val="AlphaNumbering"/>
    <w:lvl w:ilvl="0">
      <w:start w:val="1"/>
      <w:numFmt w:val="lowerLetter"/>
      <w:lvlText w:val="%1"/>
      <w:lvlJc w:val="left"/>
      <w:pPr>
        <w:tabs>
          <w:tab w:val="num" w:pos="1134"/>
        </w:tabs>
        <w:ind w:left="1134" w:hanging="45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42E7EF2"/>
    <w:multiLevelType w:val="hybridMultilevel"/>
    <w:tmpl w:val="AEBAA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A72D09"/>
    <w:multiLevelType w:val="hybridMultilevel"/>
    <w:tmpl w:val="B8FC3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78F2F14"/>
    <w:multiLevelType w:val="hybridMultilevel"/>
    <w:tmpl w:val="9884A4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382B0A5A"/>
    <w:multiLevelType w:val="hybridMultilevel"/>
    <w:tmpl w:val="94A03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8BB154B"/>
    <w:multiLevelType w:val="hybridMultilevel"/>
    <w:tmpl w:val="116CB9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C05468F"/>
    <w:multiLevelType w:val="hybridMultilevel"/>
    <w:tmpl w:val="47666E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3CC33DB3"/>
    <w:multiLevelType w:val="hybridMultilevel"/>
    <w:tmpl w:val="9A44A46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41CC77E4"/>
    <w:multiLevelType w:val="hybridMultilevel"/>
    <w:tmpl w:val="5D4C8E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21A26D9"/>
    <w:multiLevelType w:val="hybridMultilevel"/>
    <w:tmpl w:val="01F201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4583768E"/>
    <w:multiLevelType w:val="hybridMultilevel"/>
    <w:tmpl w:val="514C67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6561AF5"/>
    <w:multiLevelType w:val="hybridMultilevel"/>
    <w:tmpl w:val="D3889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C14B8F"/>
    <w:multiLevelType w:val="hybridMultilevel"/>
    <w:tmpl w:val="EF9AAC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F274CAA"/>
    <w:multiLevelType w:val="hybridMultilevel"/>
    <w:tmpl w:val="934EB6D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503702B4"/>
    <w:multiLevelType w:val="hybridMultilevel"/>
    <w:tmpl w:val="DD1ADB9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50811DDA"/>
    <w:multiLevelType w:val="hybridMultilevel"/>
    <w:tmpl w:val="B7ACC5B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50895373"/>
    <w:multiLevelType w:val="multilevel"/>
    <w:tmpl w:val="217CE95C"/>
    <w:lvl w:ilvl="0">
      <w:start w:val="1"/>
      <w:numFmt w:val="decimal"/>
      <w:pStyle w:val="NumberTrigger"/>
      <w:lvlText w:val="%1"/>
      <w:lvlJc w:val="left"/>
      <w:pPr>
        <w:tabs>
          <w:tab w:val="num" w:pos="432"/>
        </w:tabs>
        <w:ind w:left="432" w:hanging="432"/>
      </w:pPr>
      <w:rPr>
        <w:rFonts w:hint="default"/>
      </w:rPr>
    </w:lvl>
    <w:lvl w:ilvl="1">
      <w:start w:val="1"/>
      <w:numFmt w:val="decimal"/>
      <w:pStyle w:val="NumberedBody"/>
      <w:lvlText w:val="%1.%2"/>
      <w:lvlJc w:val="left"/>
      <w:pPr>
        <w:tabs>
          <w:tab w:val="num" w:pos="936"/>
        </w:tabs>
        <w:ind w:left="936" w:hanging="576"/>
      </w:pPr>
      <w:rPr>
        <w:rFonts w:hint="default"/>
      </w:rPr>
    </w:lvl>
    <w:lvl w:ilvl="2">
      <w:start w:val="1"/>
      <w:numFmt w:val="decimal"/>
      <w:pStyle w:val="NumberedBody2"/>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2AD7C2B"/>
    <w:multiLevelType w:val="hybridMultilevel"/>
    <w:tmpl w:val="AA5C3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57D745E"/>
    <w:multiLevelType w:val="hybridMultilevel"/>
    <w:tmpl w:val="66846E30"/>
    <w:lvl w:ilvl="0" w:tplc="CD7A3F76">
      <w:start w:val="1"/>
      <w:numFmt w:val="lowerLetter"/>
      <w:lvlText w:val="%1."/>
      <w:lvlJc w:val="left"/>
      <w:pPr>
        <w:ind w:left="1400" w:hanging="360"/>
      </w:pPr>
      <w:rPr>
        <w:rFonts w:hint="default"/>
        <w:b w:val="0"/>
        <w:i w:val="0"/>
        <w:color w:val="auto"/>
        <w:sz w:val="20"/>
        <w:szCs w:val="20"/>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43" w15:restartNumberingAfterBreak="0">
    <w:nsid w:val="58754C53"/>
    <w:multiLevelType w:val="hybridMultilevel"/>
    <w:tmpl w:val="9176EC5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5C6B4C5B"/>
    <w:multiLevelType w:val="hybridMultilevel"/>
    <w:tmpl w:val="09AEB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5CC24362"/>
    <w:multiLevelType w:val="hybridMultilevel"/>
    <w:tmpl w:val="803E5CD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5E2461D1"/>
    <w:multiLevelType w:val="hybridMultilevel"/>
    <w:tmpl w:val="B93CB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60224C4"/>
    <w:multiLevelType w:val="hybridMultilevel"/>
    <w:tmpl w:val="772AE8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66620AEC"/>
    <w:multiLevelType w:val="hybridMultilevel"/>
    <w:tmpl w:val="4FDC0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7310F2A"/>
    <w:multiLevelType w:val="multilevel"/>
    <w:tmpl w:val="8E54C302"/>
    <w:numStyleLink w:val="RowNumber"/>
  </w:abstractNum>
  <w:abstractNum w:abstractNumId="50" w15:restartNumberingAfterBreak="0">
    <w:nsid w:val="685724A3"/>
    <w:multiLevelType w:val="hybridMultilevel"/>
    <w:tmpl w:val="780289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9F1215E"/>
    <w:multiLevelType w:val="hybridMultilevel"/>
    <w:tmpl w:val="99E0A286"/>
    <w:lvl w:ilvl="0" w:tplc="0C090019">
      <w:start w:val="1"/>
      <w:numFmt w:val="lowerLetter"/>
      <w:lvlText w:val="%1."/>
      <w:lvlJc w:val="left"/>
      <w:pPr>
        <w:ind w:left="1728" w:hanging="360"/>
      </w:pPr>
    </w:lvl>
    <w:lvl w:ilvl="1" w:tplc="0C090019" w:tentative="1">
      <w:start w:val="1"/>
      <w:numFmt w:val="lowerLetter"/>
      <w:lvlText w:val="%2."/>
      <w:lvlJc w:val="left"/>
      <w:pPr>
        <w:ind w:left="2448" w:hanging="360"/>
      </w:pPr>
    </w:lvl>
    <w:lvl w:ilvl="2" w:tplc="0C09001B" w:tentative="1">
      <w:start w:val="1"/>
      <w:numFmt w:val="lowerRoman"/>
      <w:lvlText w:val="%3."/>
      <w:lvlJc w:val="right"/>
      <w:pPr>
        <w:ind w:left="3168" w:hanging="180"/>
      </w:pPr>
    </w:lvl>
    <w:lvl w:ilvl="3" w:tplc="0C09000F" w:tentative="1">
      <w:start w:val="1"/>
      <w:numFmt w:val="decimal"/>
      <w:lvlText w:val="%4."/>
      <w:lvlJc w:val="left"/>
      <w:pPr>
        <w:ind w:left="3888" w:hanging="360"/>
      </w:pPr>
    </w:lvl>
    <w:lvl w:ilvl="4" w:tplc="0C090019" w:tentative="1">
      <w:start w:val="1"/>
      <w:numFmt w:val="lowerLetter"/>
      <w:lvlText w:val="%5."/>
      <w:lvlJc w:val="left"/>
      <w:pPr>
        <w:ind w:left="4608" w:hanging="360"/>
      </w:pPr>
    </w:lvl>
    <w:lvl w:ilvl="5" w:tplc="0C09001B" w:tentative="1">
      <w:start w:val="1"/>
      <w:numFmt w:val="lowerRoman"/>
      <w:lvlText w:val="%6."/>
      <w:lvlJc w:val="right"/>
      <w:pPr>
        <w:ind w:left="5328" w:hanging="180"/>
      </w:pPr>
    </w:lvl>
    <w:lvl w:ilvl="6" w:tplc="0C09000F" w:tentative="1">
      <w:start w:val="1"/>
      <w:numFmt w:val="decimal"/>
      <w:lvlText w:val="%7."/>
      <w:lvlJc w:val="left"/>
      <w:pPr>
        <w:ind w:left="6048" w:hanging="360"/>
      </w:pPr>
    </w:lvl>
    <w:lvl w:ilvl="7" w:tplc="0C090019" w:tentative="1">
      <w:start w:val="1"/>
      <w:numFmt w:val="lowerLetter"/>
      <w:lvlText w:val="%8."/>
      <w:lvlJc w:val="left"/>
      <w:pPr>
        <w:ind w:left="6768" w:hanging="360"/>
      </w:pPr>
    </w:lvl>
    <w:lvl w:ilvl="8" w:tplc="0C09001B" w:tentative="1">
      <w:start w:val="1"/>
      <w:numFmt w:val="lowerRoman"/>
      <w:lvlText w:val="%9."/>
      <w:lvlJc w:val="right"/>
      <w:pPr>
        <w:ind w:left="7488" w:hanging="180"/>
      </w:pPr>
    </w:lvl>
  </w:abstractNum>
  <w:abstractNum w:abstractNumId="52" w15:restartNumberingAfterBreak="0">
    <w:nsid w:val="6CD62A28"/>
    <w:multiLevelType w:val="hybridMultilevel"/>
    <w:tmpl w:val="061E26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DA51102"/>
    <w:multiLevelType w:val="hybridMultilevel"/>
    <w:tmpl w:val="5C1AC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475BC8"/>
    <w:multiLevelType w:val="hybridMultilevel"/>
    <w:tmpl w:val="9F5AE864"/>
    <w:lvl w:ilvl="0" w:tplc="0C09001B">
      <w:start w:val="1"/>
      <w:numFmt w:val="lowerRoman"/>
      <w:lvlText w:val="%1."/>
      <w:lvlJc w:val="right"/>
      <w:pPr>
        <w:tabs>
          <w:tab w:val="num" w:pos="964"/>
        </w:tabs>
        <w:ind w:left="964" w:hanging="284"/>
      </w:pPr>
      <w:rPr>
        <w:rFonts w:hint="default"/>
        <w:b w:val="0"/>
        <w:i w:val="0"/>
        <w:color w:val="auto"/>
        <w:sz w:val="20"/>
        <w:szCs w:val="20"/>
      </w:rPr>
    </w:lvl>
    <w:lvl w:ilvl="1" w:tplc="00030409">
      <w:start w:val="1"/>
      <w:numFmt w:val="bullet"/>
      <w:lvlText w:val="o"/>
      <w:lvlJc w:val="left"/>
      <w:pPr>
        <w:tabs>
          <w:tab w:val="num" w:pos="2120"/>
        </w:tabs>
        <w:ind w:left="2120" w:hanging="360"/>
      </w:pPr>
      <w:rPr>
        <w:rFonts w:ascii="Courier New" w:hAnsi="Courier New" w:cs="Times New Roman" w:hint="default"/>
      </w:rPr>
    </w:lvl>
    <w:lvl w:ilvl="2" w:tplc="00050409">
      <w:start w:val="1"/>
      <w:numFmt w:val="bullet"/>
      <w:lvlText w:val=""/>
      <w:lvlJc w:val="left"/>
      <w:pPr>
        <w:tabs>
          <w:tab w:val="num" w:pos="2840"/>
        </w:tabs>
        <w:ind w:left="2840" w:hanging="360"/>
      </w:pPr>
      <w:rPr>
        <w:rFonts w:ascii="Wingdings" w:hAnsi="Wingdings" w:hint="default"/>
      </w:rPr>
    </w:lvl>
    <w:lvl w:ilvl="3" w:tplc="00010409">
      <w:start w:val="1"/>
      <w:numFmt w:val="bullet"/>
      <w:lvlText w:val=""/>
      <w:lvlJc w:val="left"/>
      <w:pPr>
        <w:tabs>
          <w:tab w:val="num" w:pos="3560"/>
        </w:tabs>
        <w:ind w:left="3560" w:hanging="360"/>
      </w:pPr>
      <w:rPr>
        <w:rFonts w:ascii="Symbol" w:hAnsi="Symbol" w:hint="default"/>
      </w:rPr>
    </w:lvl>
    <w:lvl w:ilvl="4" w:tplc="00030409">
      <w:start w:val="1"/>
      <w:numFmt w:val="bullet"/>
      <w:lvlText w:val="o"/>
      <w:lvlJc w:val="left"/>
      <w:pPr>
        <w:tabs>
          <w:tab w:val="num" w:pos="4280"/>
        </w:tabs>
        <w:ind w:left="4280" w:hanging="360"/>
      </w:pPr>
      <w:rPr>
        <w:rFonts w:ascii="Courier New" w:hAnsi="Courier New" w:cs="Times New Roman" w:hint="default"/>
      </w:rPr>
    </w:lvl>
    <w:lvl w:ilvl="5" w:tplc="00050409">
      <w:start w:val="1"/>
      <w:numFmt w:val="bullet"/>
      <w:lvlText w:val=""/>
      <w:lvlJc w:val="left"/>
      <w:pPr>
        <w:tabs>
          <w:tab w:val="num" w:pos="5000"/>
        </w:tabs>
        <w:ind w:left="5000" w:hanging="360"/>
      </w:pPr>
      <w:rPr>
        <w:rFonts w:ascii="Wingdings" w:hAnsi="Wingdings" w:hint="default"/>
      </w:rPr>
    </w:lvl>
    <w:lvl w:ilvl="6" w:tplc="00010409">
      <w:start w:val="1"/>
      <w:numFmt w:val="bullet"/>
      <w:lvlText w:val=""/>
      <w:lvlJc w:val="left"/>
      <w:pPr>
        <w:tabs>
          <w:tab w:val="num" w:pos="5720"/>
        </w:tabs>
        <w:ind w:left="5720" w:hanging="360"/>
      </w:pPr>
      <w:rPr>
        <w:rFonts w:ascii="Symbol" w:hAnsi="Symbol" w:hint="default"/>
      </w:rPr>
    </w:lvl>
    <w:lvl w:ilvl="7" w:tplc="00030409">
      <w:start w:val="1"/>
      <w:numFmt w:val="bullet"/>
      <w:lvlText w:val="o"/>
      <w:lvlJc w:val="left"/>
      <w:pPr>
        <w:tabs>
          <w:tab w:val="num" w:pos="6440"/>
        </w:tabs>
        <w:ind w:left="6440" w:hanging="360"/>
      </w:pPr>
      <w:rPr>
        <w:rFonts w:ascii="Courier New" w:hAnsi="Courier New" w:cs="Times New Roman" w:hint="default"/>
      </w:rPr>
    </w:lvl>
    <w:lvl w:ilvl="8" w:tplc="00050409">
      <w:start w:val="1"/>
      <w:numFmt w:val="bullet"/>
      <w:lvlText w:val=""/>
      <w:lvlJc w:val="left"/>
      <w:pPr>
        <w:tabs>
          <w:tab w:val="num" w:pos="7160"/>
        </w:tabs>
        <w:ind w:left="7160" w:hanging="360"/>
      </w:pPr>
      <w:rPr>
        <w:rFonts w:ascii="Wingdings" w:hAnsi="Wingdings" w:hint="default"/>
      </w:rPr>
    </w:lvl>
  </w:abstractNum>
  <w:abstractNum w:abstractNumId="55" w15:restartNumberingAfterBreak="0">
    <w:nsid w:val="6FA260F3"/>
    <w:multiLevelType w:val="hybridMultilevel"/>
    <w:tmpl w:val="295037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FD213F3"/>
    <w:multiLevelType w:val="multilevel"/>
    <w:tmpl w:val="27F2E6D8"/>
    <w:lvl w:ilvl="0">
      <w:start w:val="1"/>
      <w:numFmt w:val="decimal"/>
      <w:lvlText w:val="%1"/>
      <w:lvlJc w:val="left"/>
      <w:pPr>
        <w:tabs>
          <w:tab w:val="num" w:pos="432"/>
        </w:tabs>
        <w:ind w:left="432" w:hanging="432"/>
      </w:pPr>
      <w:rPr>
        <w:rFonts w:hint="default"/>
      </w:rPr>
    </w:lvl>
    <w:lvl w:ilvl="1">
      <w:start w:val="1"/>
      <w:numFmt w:val="lowerRoman"/>
      <w:lvlText w:val="%2."/>
      <w:lvlJc w:val="right"/>
      <w:pPr>
        <w:tabs>
          <w:tab w:val="num" w:pos="936"/>
        </w:tabs>
        <w:ind w:left="936" w:hanging="576"/>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700C44D2"/>
    <w:multiLevelType w:val="hybridMultilevel"/>
    <w:tmpl w:val="F20EA70C"/>
    <w:lvl w:ilvl="0" w:tplc="0C090001">
      <w:start w:val="1"/>
      <w:numFmt w:val="bullet"/>
      <w:lvlText w:val=""/>
      <w:lvlJc w:val="left"/>
      <w:pPr>
        <w:ind w:left="1080" w:hanging="360"/>
      </w:pPr>
      <w:rPr>
        <w:rFonts w:ascii="Symbol" w:hAnsi="Symbol" w:hint="default"/>
      </w:rPr>
    </w:lvl>
    <w:lvl w:ilvl="1" w:tplc="0C090003" w:tentative="1">
      <w:start w:val="1"/>
      <w:numFmt w:val="bullet"/>
      <w:pStyle w:val="AppendixHeadings"/>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7072047B"/>
    <w:multiLevelType w:val="hybridMultilevel"/>
    <w:tmpl w:val="F5C06FC2"/>
    <w:lvl w:ilvl="0" w:tplc="FFC27430">
      <w:start w:val="1"/>
      <w:numFmt w:val="bullet"/>
      <w:pStyle w:val="TableDotPoints"/>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159365F"/>
    <w:multiLevelType w:val="multilevel"/>
    <w:tmpl w:val="16B0C800"/>
    <w:numStyleLink w:val="AlphaNumbering"/>
  </w:abstractNum>
  <w:abstractNum w:abstractNumId="60" w15:restartNumberingAfterBreak="0">
    <w:nsid w:val="7AC52ABD"/>
    <w:multiLevelType w:val="multilevel"/>
    <w:tmpl w:val="8E54C302"/>
    <w:numStyleLink w:val="RowNumber"/>
  </w:abstractNum>
  <w:abstractNum w:abstractNumId="61" w15:restartNumberingAfterBreak="0">
    <w:nsid w:val="7DDB2061"/>
    <w:multiLevelType w:val="hybridMultilevel"/>
    <w:tmpl w:val="E16A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EC34F92"/>
    <w:multiLevelType w:val="hybridMultilevel"/>
    <w:tmpl w:val="B210A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7"/>
  </w:num>
  <w:num w:numId="2">
    <w:abstractNumId w:val="40"/>
  </w:num>
  <w:num w:numId="3">
    <w:abstractNumId w:val="14"/>
  </w:num>
  <w:num w:numId="4">
    <w:abstractNumId w:val="49"/>
  </w:num>
  <w:num w:numId="5">
    <w:abstractNumId w:val="38"/>
  </w:num>
  <w:num w:numId="6">
    <w:abstractNumId w:val="0"/>
  </w:num>
  <w:num w:numId="7">
    <w:abstractNumId w:val="42"/>
  </w:num>
  <w:num w:numId="8">
    <w:abstractNumId w:val="54"/>
  </w:num>
  <w:num w:numId="9">
    <w:abstractNumId w:val="4"/>
  </w:num>
  <w:num w:numId="10">
    <w:abstractNumId w:val="56"/>
  </w:num>
  <w:num w:numId="11">
    <w:abstractNumId w:val="8"/>
  </w:num>
  <w:num w:numId="12">
    <w:abstractNumId w:val="34"/>
  </w:num>
  <w:num w:numId="13">
    <w:abstractNumId w:val="39"/>
  </w:num>
  <w:num w:numId="14">
    <w:abstractNumId w:val="9"/>
  </w:num>
  <w:num w:numId="15">
    <w:abstractNumId w:val="16"/>
  </w:num>
  <w:num w:numId="16">
    <w:abstractNumId w:val="23"/>
  </w:num>
  <w:num w:numId="17">
    <w:abstractNumId w:val="33"/>
  </w:num>
  <w:num w:numId="18">
    <w:abstractNumId w:val="2"/>
  </w:num>
  <w:num w:numId="19">
    <w:abstractNumId w:val="47"/>
  </w:num>
  <w:num w:numId="20">
    <w:abstractNumId w:val="15"/>
  </w:num>
  <w:num w:numId="21">
    <w:abstractNumId w:val="24"/>
  </w:num>
  <w:num w:numId="22">
    <w:abstractNumId w:val="21"/>
  </w:num>
  <w:num w:numId="23">
    <w:abstractNumId w:val="58"/>
  </w:num>
  <w:num w:numId="24">
    <w:abstractNumId w:val="60"/>
  </w:num>
  <w:num w:numId="25">
    <w:abstractNumId w:val="3"/>
  </w:num>
  <w:num w:numId="26">
    <w:abstractNumId w:val="59"/>
  </w:num>
  <w:num w:numId="27">
    <w:abstractNumId w:val="37"/>
  </w:num>
  <w:num w:numId="28">
    <w:abstractNumId w:val="19"/>
  </w:num>
  <w:num w:numId="29">
    <w:abstractNumId w:val="5"/>
  </w:num>
  <w:num w:numId="30">
    <w:abstractNumId w:val="53"/>
  </w:num>
  <w:num w:numId="31">
    <w:abstractNumId w:val="26"/>
  </w:num>
  <w:num w:numId="32">
    <w:abstractNumId w:val="35"/>
  </w:num>
  <w:num w:numId="33">
    <w:abstractNumId w:val="31"/>
  </w:num>
  <w:num w:numId="34">
    <w:abstractNumId w:val="29"/>
  </w:num>
  <w:num w:numId="35">
    <w:abstractNumId w:val="55"/>
  </w:num>
  <w:num w:numId="36">
    <w:abstractNumId w:val="20"/>
  </w:num>
  <w:num w:numId="37">
    <w:abstractNumId w:val="50"/>
  </w:num>
  <w:num w:numId="38">
    <w:abstractNumId w:val="36"/>
  </w:num>
  <w:num w:numId="39">
    <w:abstractNumId w:val="11"/>
  </w:num>
  <w:num w:numId="40">
    <w:abstractNumId w:val="43"/>
  </w:num>
  <w:num w:numId="41">
    <w:abstractNumId w:val="1"/>
  </w:num>
  <w:num w:numId="42">
    <w:abstractNumId w:val="27"/>
  </w:num>
  <w:num w:numId="43">
    <w:abstractNumId w:val="18"/>
  </w:num>
  <w:num w:numId="44">
    <w:abstractNumId w:val="17"/>
  </w:num>
  <w:num w:numId="45">
    <w:abstractNumId w:val="30"/>
  </w:num>
  <w:num w:numId="46">
    <w:abstractNumId w:val="45"/>
  </w:num>
  <w:num w:numId="47">
    <w:abstractNumId w:val="41"/>
  </w:num>
  <w:num w:numId="48">
    <w:abstractNumId w:val="61"/>
  </w:num>
  <w:num w:numId="49">
    <w:abstractNumId w:val="12"/>
  </w:num>
  <w:num w:numId="50">
    <w:abstractNumId w:val="62"/>
  </w:num>
  <w:num w:numId="51">
    <w:abstractNumId w:val="51"/>
  </w:num>
  <w:num w:numId="52">
    <w:abstractNumId w:val="48"/>
  </w:num>
  <w:num w:numId="53">
    <w:abstractNumId w:val="46"/>
  </w:num>
  <w:num w:numId="54">
    <w:abstractNumId w:val="25"/>
  </w:num>
  <w:num w:numId="55">
    <w:abstractNumId w:val="7"/>
  </w:num>
  <w:num w:numId="56">
    <w:abstractNumId w:val="13"/>
  </w:num>
  <w:num w:numId="57">
    <w:abstractNumId w:val="52"/>
  </w:num>
  <w:num w:numId="58">
    <w:abstractNumId w:val="10"/>
  </w:num>
  <w:num w:numId="59">
    <w:abstractNumId w:val="22"/>
  </w:num>
  <w:num w:numId="60">
    <w:abstractNumId w:val="32"/>
  </w:num>
  <w:num w:numId="61">
    <w:abstractNumId w:val="28"/>
  </w:num>
  <w:num w:numId="62">
    <w:abstractNumId w:val="6"/>
  </w:num>
  <w:num w:numId="63">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A3"/>
    <w:rsid w:val="000023B8"/>
    <w:rsid w:val="00023EDA"/>
    <w:rsid w:val="0002756A"/>
    <w:rsid w:val="00033362"/>
    <w:rsid w:val="000368CD"/>
    <w:rsid w:val="00042B12"/>
    <w:rsid w:val="00042DD0"/>
    <w:rsid w:val="000471E4"/>
    <w:rsid w:val="0005499B"/>
    <w:rsid w:val="00066182"/>
    <w:rsid w:val="00073EF1"/>
    <w:rsid w:val="00075691"/>
    <w:rsid w:val="000A0456"/>
    <w:rsid w:val="000A167E"/>
    <w:rsid w:val="000B1C2B"/>
    <w:rsid w:val="000C64FE"/>
    <w:rsid w:val="000D5CDE"/>
    <w:rsid w:val="000F4E49"/>
    <w:rsid w:val="00110DDD"/>
    <w:rsid w:val="00127ED8"/>
    <w:rsid w:val="00131F3C"/>
    <w:rsid w:val="00190662"/>
    <w:rsid w:val="0019277D"/>
    <w:rsid w:val="001C3807"/>
    <w:rsid w:val="001C4A67"/>
    <w:rsid w:val="001E774E"/>
    <w:rsid w:val="00213148"/>
    <w:rsid w:val="002200F7"/>
    <w:rsid w:val="0025732C"/>
    <w:rsid w:val="002620F3"/>
    <w:rsid w:val="00292080"/>
    <w:rsid w:val="002929C2"/>
    <w:rsid w:val="002B15C6"/>
    <w:rsid w:val="002F4D9C"/>
    <w:rsid w:val="00304209"/>
    <w:rsid w:val="0031048A"/>
    <w:rsid w:val="00313F14"/>
    <w:rsid w:val="0032731C"/>
    <w:rsid w:val="00330C6F"/>
    <w:rsid w:val="00332F3E"/>
    <w:rsid w:val="00354AF3"/>
    <w:rsid w:val="00355C8B"/>
    <w:rsid w:val="00385161"/>
    <w:rsid w:val="003906FA"/>
    <w:rsid w:val="003A4561"/>
    <w:rsid w:val="003E1C53"/>
    <w:rsid w:val="003E4B2C"/>
    <w:rsid w:val="003F67E3"/>
    <w:rsid w:val="00453C94"/>
    <w:rsid w:val="004943FE"/>
    <w:rsid w:val="004A7D26"/>
    <w:rsid w:val="004D57CF"/>
    <w:rsid w:val="004D5C5A"/>
    <w:rsid w:val="00501829"/>
    <w:rsid w:val="00521DA3"/>
    <w:rsid w:val="0052602A"/>
    <w:rsid w:val="005430F9"/>
    <w:rsid w:val="00574255"/>
    <w:rsid w:val="005900EB"/>
    <w:rsid w:val="005979E9"/>
    <w:rsid w:val="00597EA3"/>
    <w:rsid w:val="005B556E"/>
    <w:rsid w:val="005C21B7"/>
    <w:rsid w:val="005D2389"/>
    <w:rsid w:val="005E7C55"/>
    <w:rsid w:val="006103C8"/>
    <w:rsid w:val="00622F7B"/>
    <w:rsid w:val="00626D73"/>
    <w:rsid w:val="00671793"/>
    <w:rsid w:val="006720A3"/>
    <w:rsid w:val="00675DC4"/>
    <w:rsid w:val="00697397"/>
    <w:rsid w:val="006C0B44"/>
    <w:rsid w:val="006C6425"/>
    <w:rsid w:val="006E292B"/>
    <w:rsid w:val="007048CF"/>
    <w:rsid w:val="0071587F"/>
    <w:rsid w:val="00722A1D"/>
    <w:rsid w:val="00761949"/>
    <w:rsid w:val="0078663B"/>
    <w:rsid w:val="0078794B"/>
    <w:rsid w:val="007F5470"/>
    <w:rsid w:val="007F6438"/>
    <w:rsid w:val="00804217"/>
    <w:rsid w:val="008404C8"/>
    <w:rsid w:val="0084429C"/>
    <w:rsid w:val="00862E72"/>
    <w:rsid w:val="00876135"/>
    <w:rsid w:val="00885846"/>
    <w:rsid w:val="00890395"/>
    <w:rsid w:val="0089326F"/>
    <w:rsid w:val="008B7563"/>
    <w:rsid w:val="008B79EF"/>
    <w:rsid w:val="008F5DF9"/>
    <w:rsid w:val="009034E8"/>
    <w:rsid w:val="00904DD0"/>
    <w:rsid w:val="0091536A"/>
    <w:rsid w:val="00926A64"/>
    <w:rsid w:val="00953D8F"/>
    <w:rsid w:val="009542C7"/>
    <w:rsid w:val="00971318"/>
    <w:rsid w:val="009823DF"/>
    <w:rsid w:val="00985921"/>
    <w:rsid w:val="009A738E"/>
    <w:rsid w:val="009F529E"/>
    <w:rsid w:val="00A00501"/>
    <w:rsid w:val="00A278CB"/>
    <w:rsid w:val="00A579DD"/>
    <w:rsid w:val="00A63CD9"/>
    <w:rsid w:val="00AA6789"/>
    <w:rsid w:val="00AE2F0A"/>
    <w:rsid w:val="00AE45A3"/>
    <w:rsid w:val="00AE6F83"/>
    <w:rsid w:val="00B1049A"/>
    <w:rsid w:val="00B41838"/>
    <w:rsid w:val="00B50274"/>
    <w:rsid w:val="00B57663"/>
    <w:rsid w:val="00B60A5A"/>
    <w:rsid w:val="00B67AD9"/>
    <w:rsid w:val="00B86449"/>
    <w:rsid w:val="00B91B94"/>
    <w:rsid w:val="00B97225"/>
    <w:rsid w:val="00BA6AFC"/>
    <w:rsid w:val="00BB31EE"/>
    <w:rsid w:val="00BD2ECC"/>
    <w:rsid w:val="00C34A22"/>
    <w:rsid w:val="00C553D5"/>
    <w:rsid w:val="00C7730F"/>
    <w:rsid w:val="00CA104B"/>
    <w:rsid w:val="00CC0A99"/>
    <w:rsid w:val="00CD5E19"/>
    <w:rsid w:val="00CF3901"/>
    <w:rsid w:val="00D1232A"/>
    <w:rsid w:val="00D60028"/>
    <w:rsid w:val="00D63666"/>
    <w:rsid w:val="00D64369"/>
    <w:rsid w:val="00D711BC"/>
    <w:rsid w:val="00D810A1"/>
    <w:rsid w:val="00DA36D9"/>
    <w:rsid w:val="00DF06C6"/>
    <w:rsid w:val="00E26990"/>
    <w:rsid w:val="00E5492D"/>
    <w:rsid w:val="00E60647"/>
    <w:rsid w:val="00E7253F"/>
    <w:rsid w:val="00E81BFD"/>
    <w:rsid w:val="00EA0974"/>
    <w:rsid w:val="00EA7EDB"/>
    <w:rsid w:val="00EB24C3"/>
    <w:rsid w:val="00ED424D"/>
    <w:rsid w:val="00EE1EFA"/>
    <w:rsid w:val="00EE7290"/>
    <w:rsid w:val="00EF2253"/>
    <w:rsid w:val="00F0698C"/>
    <w:rsid w:val="00F12E50"/>
    <w:rsid w:val="00F160EE"/>
    <w:rsid w:val="00F2608B"/>
    <w:rsid w:val="00F27436"/>
    <w:rsid w:val="00F43EE4"/>
    <w:rsid w:val="00F73B3D"/>
    <w:rsid w:val="00F86B68"/>
    <w:rsid w:val="00F94780"/>
    <w:rsid w:val="00FC34C2"/>
    <w:rsid w:val="00FF6E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EE149FE-87B4-4527-903B-6150ED8D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761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76135"/>
    <w:pPr>
      <w:autoSpaceDE w:val="0"/>
      <w:autoSpaceDN w:val="0"/>
      <w:adjustRightInd w:val="0"/>
      <w:spacing w:before="240" w:after="120" w:line="240" w:lineRule="auto"/>
      <w:outlineLvl w:val="1"/>
    </w:pPr>
    <w:rPr>
      <w:rFonts w:ascii="Century Gothic" w:eastAsia="Times New Roman" w:hAnsi="Century Gothic" w:cs="Times New Roman"/>
      <w:b/>
      <w:sz w:val="26"/>
      <w:szCs w:val="26"/>
      <w:lang w:eastAsia="en-AU"/>
    </w:rPr>
  </w:style>
  <w:style w:type="paragraph" w:styleId="Heading3">
    <w:name w:val="heading 3"/>
    <w:basedOn w:val="Normal"/>
    <w:next w:val="Normal"/>
    <w:link w:val="Heading3Char"/>
    <w:qFormat/>
    <w:rsid w:val="00876135"/>
    <w:pPr>
      <w:keepNext/>
      <w:autoSpaceDE w:val="0"/>
      <w:autoSpaceDN w:val="0"/>
      <w:adjustRightInd w:val="0"/>
      <w:spacing w:before="240" w:after="120" w:line="240" w:lineRule="auto"/>
      <w:outlineLvl w:val="2"/>
    </w:pPr>
    <w:rPr>
      <w:rFonts w:ascii="Century Gothic" w:eastAsia="Times New Roman" w:hAnsi="Century Gothic" w:cs="Arial"/>
      <w:b/>
      <w:bCs/>
      <w:sz w:val="24"/>
      <w:szCs w:val="26"/>
      <w:lang w:eastAsia="en-AU"/>
    </w:rPr>
  </w:style>
  <w:style w:type="paragraph" w:styleId="Heading4">
    <w:name w:val="heading 4"/>
    <w:basedOn w:val="Normal"/>
    <w:next w:val="Normal"/>
    <w:link w:val="Heading4Char"/>
    <w:unhideWhenUsed/>
    <w:qFormat/>
    <w:rsid w:val="0087613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76135"/>
    <w:pPr>
      <w:autoSpaceDE w:val="0"/>
      <w:autoSpaceDN w:val="0"/>
      <w:adjustRightInd w:val="0"/>
      <w:spacing w:before="120" w:after="60" w:line="240" w:lineRule="auto"/>
      <w:outlineLvl w:val="4"/>
    </w:pPr>
    <w:rPr>
      <w:rFonts w:ascii="Century Gothic" w:eastAsia="Times New Roman" w:hAnsi="Century Gothic" w:cs="Times New Roman"/>
      <w:b/>
      <w:bCs/>
      <w:iCs/>
      <w:sz w:val="20"/>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0A3"/>
    <w:pPr>
      <w:ind w:left="720"/>
      <w:contextualSpacing/>
    </w:pPr>
  </w:style>
  <w:style w:type="paragraph" w:customStyle="1" w:styleId="Default">
    <w:name w:val="Default"/>
    <w:rsid w:val="006720A3"/>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Heading2Char">
    <w:name w:val="Heading 2 Char"/>
    <w:basedOn w:val="DefaultParagraphFont"/>
    <w:link w:val="Heading2"/>
    <w:rsid w:val="00876135"/>
    <w:rPr>
      <w:rFonts w:ascii="Century Gothic" w:eastAsia="Times New Roman" w:hAnsi="Century Gothic" w:cs="Times New Roman"/>
      <w:b/>
      <w:sz w:val="26"/>
      <w:szCs w:val="26"/>
      <w:lang w:eastAsia="en-AU"/>
    </w:rPr>
  </w:style>
  <w:style w:type="character" w:customStyle="1" w:styleId="Heading3Char">
    <w:name w:val="Heading 3 Char"/>
    <w:basedOn w:val="DefaultParagraphFont"/>
    <w:link w:val="Heading3"/>
    <w:rsid w:val="00876135"/>
    <w:rPr>
      <w:rFonts w:ascii="Century Gothic" w:eastAsia="Times New Roman" w:hAnsi="Century Gothic" w:cs="Arial"/>
      <w:b/>
      <w:bCs/>
      <w:sz w:val="24"/>
      <w:szCs w:val="26"/>
      <w:lang w:eastAsia="en-AU"/>
    </w:rPr>
  </w:style>
  <w:style w:type="paragraph" w:customStyle="1" w:styleId="NumberedBody">
    <w:name w:val="NumberedBody"/>
    <w:rsid w:val="00876135"/>
    <w:pPr>
      <w:numPr>
        <w:ilvl w:val="1"/>
        <w:numId w:val="2"/>
      </w:numPr>
      <w:tabs>
        <w:tab w:val="clear" w:pos="936"/>
        <w:tab w:val="left" w:pos="680"/>
      </w:tabs>
      <w:spacing w:before="120" w:after="0" w:line="240" w:lineRule="auto"/>
      <w:ind w:left="680" w:hanging="680"/>
    </w:pPr>
    <w:rPr>
      <w:rFonts w:ascii="Century Gothic" w:eastAsia="Times New Roman" w:hAnsi="Century Gothic" w:cs="Times New Roman"/>
      <w:sz w:val="20"/>
      <w:szCs w:val="24"/>
      <w:lang w:val="en-US" w:eastAsia="en-AU"/>
    </w:rPr>
  </w:style>
  <w:style w:type="paragraph" w:styleId="Caption">
    <w:name w:val="caption"/>
    <w:basedOn w:val="Normal"/>
    <w:next w:val="Normal"/>
    <w:qFormat/>
    <w:rsid w:val="00876135"/>
    <w:pPr>
      <w:autoSpaceDE w:val="0"/>
      <w:autoSpaceDN w:val="0"/>
      <w:adjustRightInd w:val="0"/>
      <w:spacing w:before="120" w:after="120" w:line="240" w:lineRule="auto"/>
    </w:pPr>
    <w:rPr>
      <w:rFonts w:ascii="Century Gothic" w:eastAsia="Times New Roman" w:hAnsi="Century Gothic" w:cs="Times New Roman"/>
      <w:b/>
      <w:bCs/>
      <w:sz w:val="20"/>
      <w:szCs w:val="20"/>
      <w:lang w:eastAsia="en-AU"/>
    </w:rPr>
  </w:style>
  <w:style w:type="paragraph" w:customStyle="1" w:styleId="NumberedBody2">
    <w:name w:val="NumberedBody2"/>
    <w:basedOn w:val="NumberedBody"/>
    <w:rsid w:val="00876135"/>
    <w:pPr>
      <w:numPr>
        <w:ilvl w:val="2"/>
      </w:numPr>
    </w:pPr>
  </w:style>
  <w:style w:type="paragraph" w:customStyle="1" w:styleId="NumberTrigger">
    <w:name w:val="NumberTrigger"/>
    <w:basedOn w:val="Heading1"/>
    <w:rsid w:val="00876135"/>
    <w:pPr>
      <w:keepNext w:val="0"/>
      <w:keepLines w:val="0"/>
      <w:numPr>
        <w:numId w:val="2"/>
      </w:numPr>
      <w:pBdr>
        <w:bottom w:val="single" w:sz="12" w:space="1" w:color="auto"/>
      </w:pBdr>
      <w:tabs>
        <w:tab w:val="clear" w:pos="432"/>
      </w:tabs>
      <w:autoSpaceDE w:val="0"/>
      <w:autoSpaceDN w:val="0"/>
      <w:adjustRightInd w:val="0"/>
      <w:spacing w:after="120" w:line="240" w:lineRule="auto"/>
      <w:ind w:left="1080" w:hanging="360"/>
    </w:pPr>
    <w:rPr>
      <w:rFonts w:ascii="Century Gothic" w:eastAsia="Times New Roman" w:hAnsi="Century Gothic" w:cs="Times New Roman"/>
      <w:b/>
      <w:vanish/>
      <w:color w:val="auto"/>
      <w:sz w:val="28"/>
      <w:lang w:val="en-US" w:eastAsia="en-AU"/>
    </w:rPr>
  </w:style>
  <w:style w:type="numbering" w:customStyle="1" w:styleId="RowNumber">
    <w:name w:val="RowNumber"/>
    <w:basedOn w:val="NoList"/>
    <w:rsid w:val="00876135"/>
    <w:pPr>
      <w:numPr>
        <w:numId w:val="3"/>
      </w:numPr>
    </w:pPr>
  </w:style>
  <w:style w:type="paragraph" w:customStyle="1" w:styleId="TabletText">
    <w:name w:val="TabletText"/>
    <w:basedOn w:val="Normal"/>
    <w:rsid w:val="00876135"/>
    <w:pPr>
      <w:autoSpaceDE w:val="0"/>
      <w:autoSpaceDN w:val="0"/>
      <w:adjustRightInd w:val="0"/>
      <w:spacing w:before="60" w:after="60" w:line="240" w:lineRule="auto"/>
    </w:pPr>
    <w:rPr>
      <w:rFonts w:ascii="Century Gothic" w:eastAsia="Times New Roman" w:hAnsi="Century Gothic" w:cs="Times New Roman"/>
      <w:sz w:val="18"/>
      <w:szCs w:val="24"/>
      <w:lang w:eastAsia="en-AU"/>
    </w:rPr>
  </w:style>
  <w:style w:type="paragraph" w:customStyle="1" w:styleId="TableHeadings">
    <w:name w:val="TableHeadings"/>
    <w:basedOn w:val="TabletText"/>
    <w:rsid w:val="00876135"/>
    <w:rPr>
      <w:b/>
      <w:szCs w:val="18"/>
    </w:rPr>
  </w:style>
  <w:style w:type="paragraph" w:customStyle="1" w:styleId="textboxmaterial">
    <w:name w:val="text box material"/>
    <w:basedOn w:val="Normal"/>
    <w:rsid w:val="00876135"/>
    <w:pPr>
      <w:spacing w:before="60" w:after="60" w:line="180" w:lineRule="atLeast"/>
    </w:pPr>
    <w:rPr>
      <w:rFonts w:ascii="Calibri" w:eastAsia="SimSun" w:hAnsi="Calibri" w:cs="Times New Roman"/>
      <w:bCs/>
      <w:sz w:val="18"/>
      <w:szCs w:val="16"/>
      <w:lang w:eastAsia="zh-CN"/>
    </w:rPr>
  </w:style>
  <w:style w:type="paragraph" w:customStyle="1" w:styleId="textboxbullet">
    <w:name w:val="text box bullet"/>
    <w:basedOn w:val="textboxmaterial"/>
    <w:rsid w:val="00876135"/>
    <w:pPr>
      <w:numPr>
        <w:numId w:val="6"/>
      </w:numPr>
      <w:spacing w:before="40" w:after="40"/>
    </w:pPr>
  </w:style>
  <w:style w:type="character" w:customStyle="1" w:styleId="Heading1Char">
    <w:name w:val="Heading 1 Char"/>
    <w:basedOn w:val="DefaultParagraphFont"/>
    <w:link w:val="Heading1"/>
    <w:rsid w:val="0087613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76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35"/>
    <w:rPr>
      <w:rFonts w:ascii="Segoe UI" w:hAnsi="Segoe UI" w:cs="Segoe UI"/>
      <w:sz w:val="18"/>
      <w:szCs w:val="18"/>
    </w:rPr>
  </w:style>
  <w:style w:type="character" w:styleId="Hyperlink">
    <w:name w:val="Hyperlink"/>
    <w:basedOn w:val="DefaultParagraphFont"/>
    <w:uiPriority w:val="99"/>
    <w:rsid w:val="00876135"/>
    <w:rPr>
      <w:color w:val="0000FF"/>
      <w:u w:val="single"/>
    </w:rPr>
  </w:style>
  <w:style w:type="character" w:customStyle="1" w:styleId="apple-converted-space">
    <w:name w:val="apple-converted-space"/>
    <w:basedOn w:val="DefaultParagraphFont"/>
    <w:rsid w:val="00876135"/>
  </w:style>
  <w:style w:type="paragraph" w:styleId="FootnoteText">
    <w:name w:val="footnote text"/>
    <w:basedOn w:val="Normal"/>
    <w:link w:val="FootnoteTextChar"/>
    <w:uiPriority w:val="99"/>
    <w:semiHidden/>
    <w:unhideWhenUsed/>
    <w:rsid w:val="00876135"/>
    <w:pPr>
      <w:autoSpaceDE w:val="0"/>
      <w:autoSpaceDN w:val="0"/>
      <w:adjustRightInd w:val="0"/>
      <w:spacing w:after="0" w:line="240" w:lineRule="auto"/>
    </w:pPr>
    <w:rPr>
      <w:rFonts w:ascii="Century Gothic" w:eastAsia="Times New Roman" w:hAnsi="Century Gothic" w:cs="Times New Roman"/>
      <w:sz w:val="20"/>
      <w:szCs w:val="20"/>
      <w:lang w:eastAsia="en-AU"/>
    </w:rPr>
  </w:style>
  <w:style w:type="character" w:customStyle="1" w:styleId="FootnoteTextChar">
    <w:name w:val="Footnote Text Char"/>
    <w:basedOn w:val="DefaultParagraphFont"/>
    <w:link w:val="FootnoteText"/>
    <w:uiPriority w:val="99"/>
    <w:semiHidden/>
    <w:rsid w:val="00876135"/>
    <w:rPr>
      <w:rFonts w:ascii="Century Gothic" w:eastAsia="Times New Roman" w:hAnsi="Century Gothic" w:cs="Times New Roman"/>
      <w:sz w:val="20"/>
      <w:szCs w:val="20"/>
      <w:lang w:eastAsia="en-AU"/>
    </w:rPr>
  </w:style>
  <w:style w:type="character" w:styleId="FootnoteReference">
    <w:name w:val="footnote reference"/>
    <w:basedOn w:val="DefaultParagraphFont"/>
    <w:uiPriority w:val="99"/>
    <w:semiHidden/>
    <w:unhideWhenUsed/>
    <w:rsid w:val="00876135"/>
    <w:rPr>
      <w:vertAlign w:val="superscript"/>
    </w:rPr>
  </w:style>
  <w:style w:type="character" w:customStyle="1" w:styleId="Heading4Char">
    <w:name w:val="Heading 4 Char"/>
    <w:basedOn w:val="DefaultParagraphFont"/>
    <w:link w:val="Heading4"/>
    <w:uiPriority w:val="9"/>
    <w:semiHidden/>
    <w:rsid w:val="0087613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876135"/>
    <w:rPr>
      <w:rFonts w:ascii="Century Gothic" w:eastAsia="Times New Roman" w:hAnsi="Century Gothic" w:cs="Times New Roman"/>
      <w:b/>
      <w:bCs/>
      <w:iCs/>
      <w:sz w:val="20"/>
      <w:szCs w:val="26"/>
      <w:lang w:eastAsia="en-AU"/>
    </w:rPr>
  </w:style>
  <w:style w:type="paragraph" w:customStyle="1" w:styleId="PlanSectionTitle">
    <w:name w:val="Plan Section Title"/>
    <w:basedOn w:val="Normal"/>
    <w:autoRedefine/>
    <w:rsid w:val="00876135"/>
    <w:pPr>
      <w:pBdr>
        <w:bottom w:val="single" w:sz="12" w:space="1" w:color="auto"/>
      </w:pBdr>
      <w:spacing w:before="240" w:after="120" w:line="240" w:lineRule="auto"/>
      <w:contextualSpacing/>
    </w:pPr>
    <w:rPr>
      <w:rFonts w:ascii="Century Gothic" w:eastAsia="Times New Roman" w:hAnsi="Century Gothic" w:cs="Times New Roman"/>
      <w:b/>
      <w:sz w:val="32"/>
    </w:rPr>
  </w:style>
  <w:style w:type="paragraph" w:styleId="Header">
    <w:name w:val="header"/>
    <w:basedOn w:val="Normal"/>
    <w:link w:val="HeaderChar"/>
    <w:rsid w:val="00876135"/>
    <w:pPr>
      <w:tabs>
        <w:tab w:val="center" w:pos="4153"/>
        <w:tab w:val="right" w:pos="8306"/>
      </w:tabs>
      <w:autoSpaceDE w:val="0"/>
      <w:autoSpaceDN w:val="0"/>
      <w:adjustRightInd w:val="0"/>
      <w:spacing w:before="120" w:after="0" w:line="240" w:lineRule="auto"/>
    </w:pPr>
    <w:rPr>
      <w:rFonts w:ascii="Century Gothic" w:eastAsia="Times New Roman" w:hAnsi="Century Gothic" w:cs="Times New Roman"/>
      <w:sz w:val="20"/>
      <w:szCs w:val="24"/>
      <w:lang w:eastAsia="en-AU"/>
    </w:rPr>
  </w:style>
  <w:style w:type="character" w:customStyle="1" w:styleId="HeaderChar">
    <w:name w:val="Header Char"/>
    <w:basedOn w:val="DefaultParagraphFont"/>
    <w:link w:val="Header"/>
    <w:rsid w:val="00876135"/>
    <w:rPr>
      <w:rFonts w:ascii="Century Gothic" w:eastAsia="Times New Roman" w:hAnsi="Century Gothic" w:cs="Times New Roman"/>
      <w:sz w:val="20"/>
      <w:szCs w:val="24"/>
      <w:lang w:eastAsia="en-AU"/>
    </w:rPr>
  </w:style>
  <w:style w:type="paragraph" w:styleId="Footer">
    <w:name w:val="footer"/>
    <w:basedOn w:val="Normal"/>
    <w:link w:val="FooterChar"/>
    <w:uiPriority w:val="99"/>
    <w:rsid w:val="00876135"/>
    <w:pPr>
      <w:tabs>
        <w:tab w:val="center" w:pos="4153"/>
        <w:tab w:val="right" w:pos="8306"/>
      </w:tabs>
      <w:autoSpaceDE w:val="0"/>
      <w:autoSpaceDN w:val="0"/>
      <w:adjustRightInd w:val="0"/>
      <w:spacing w:before="120" w:after="0" w:line="240" w:lineRule="auto"/>
    </w:pPr>
    <w:rPr>
      <w:rFonts w:ascii="Century Gothic" w:eastAsia="Times New Roman" w:hAnsi="Century Gothic" w:cs="Times New Roman"/>
      <w:sz w:val="20"/>
      <w:szCs w:val="24"/>
      <w:lang w:eastAsia="en-AU"/>
    </w:rPr>
  </w:style>
  <w:style w:type="character" w:customStyle="1" w:styleId="FooterChar">
    <w:name w:val="Footer Char"/>
    <w:basedOn w:val="DefaultParagraphFont"/>
    <w:link w:val="Footer"/>
    <w:uiPriority w:val="99"/>
    <w:rsid w:val="00876135"/>
    <w:rPr>
      <w:rFonts w:ascii="Century Gothic" w:eastAsia="Times New Roman" w:hAnsi="Century Gothic" w:cs="Times New Roman"/>
      <w:sz w:val="20"/>
      <w:szCs w:val="24"/>
      <w:lang w:eastAsia="en-AU"/>
    </w:rPr>
  </w:style>
  <w:style w:type="paragraph" w:styleId="TOC1">
    <w:name w:val="toc 1"/>
    <w:basedOn w:val="Normal"/>
    <w:next w:val="Normal"/>
    <w:uiPriority w:val="39"/>
    <w:rsid w:val="00876135"/>
    <w:pPr>
      <w:autoSpaceDE w:val="0"/>
      <w:autoSpaceDN w:val="0"/>
      <w:adjustRightInd w:val="0"/>
      <w:spacing w:before="40" w:after="40" w:line="240" w:lineRule="auto"/>
    </w:pPr>
    <w:rPr>
      <w:rFonts w:ascii="Century Gothic" w:eastAsia="Times New Roman" w:hAnsi="Century Gothic" w:cs="Times New Roman"/>
      <w:b/>
      <w:caps/>
      <w:sz w:val="20"/>
      <w:szCs w:val="20"/>
      <w:lang w:eastAsia="en-AU"/>
    </w:rPr>
  </w:style>
  <w:style w:type="paragraph" w:styleId="TOC3">
    <w:name w:val="toc 3"/>
    <w:basedOn w:val="Normal"/>
    <w:next w:val="Normal"/>
    <w:uiPriority w:val="39"/>
    <w:rsid w:val="00876135"/>
    <w:pPr>
      <w:autoSpaceDE w:val="0"/>
      <w:autoSpaceDN w:val="0"/>
      <w:adjustRightInd w:val="0"/>
      <w:spacing w:before="40" w:after="40" w:line="240" w:lineRule="auto"/>
      <w:ind w:left="284"/>
    </w:pPr>
    <w:rPr>
      <w:rFonts w:ascii="Century Gothic" w:eastAsia="Times New Roman" w:hAnsi="Century Gothic" w:cs="Times New Roman"/>
      <w:sz w:val="18"/>
      <w:szCs w:val="18"/>
      <w:lang w:eastAsia="en-AU"/>
    </w:rPr>
  </w:style>
  <w:style w:type="paragraph" w:styleId="TOC2">
    <w:name w:val="toc 2"/>
    <w:basedOn w:val="Normal"/>
    <w:next w:val="Normal"/>
    <w:uiPriority w:val="39"/>
    <w:rsid w:val="00876135"/>
    <w:pPr>
      <w:autoSpaceDE w:val="0"/>
      <w:autoSpaceDN w:val="0"/>
      <w:adjustRightInd w:val="0"/>
      <w:spacing w:before="40" w:after="40" w:line="240" w:lineRule="auto"/>
    </w:pPr>
    <w:rPr>
      <w:rFonts w:ascii="Century Gothic" w:eastAsia="Times New Roman" w:hAnsi="Century Gothic" w:cs="Times New Roman"/>
      <w:sz w:val="20"/>
      <w:szCs w:val="20"/>
      <w:lang w:eastAsia="en-AU"/>
    </w:rPr>
  </w:style>
  <w:style w:type="table" w:styleId="TableGrid">
    <w:name w:val="Table Grid"/>
    <w:basedOn w:val="TableNormal"/>
    <w:uiPriority w:val="59"/>
    <w:rsid w:val="00876135"/>
    <w:pPr>
      <w:autoSpaceDE w:val="0"/>
      <w:autoSpaceDN w:val="0"/>
      <w:adjustRightInd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876135"/>
    <w:pPr>
      <w:autoSpaceDE w:val="0"/>
      <w:autoSpaceDN w:val="0"/>
      <w:adjustRightInd w:val="0"/>
      <w:spacing w:before="120" w:after="0" w:line="240" w:lineRule="auto"/>
      <w:ind w:left="720"/>
    </w:pPr>
    <w:rPr>
      <w:rFonts w:ascii="Century Gothic" w:eastAsia="Times New Roman" w:hAnsi="Century Gothic" w:cs="Times New Roman"/>
      <w:sz w:val="20"/>
      <w:szCs w:val="24"/>
      <w:lang w:eastAsia="en-AU"/>
    </w:rPr>
  </w:style>
  <w:style w:type="character" w:customStyle="1" w:styleId="LegislationTitlesChar">
    <w:name w:val="LegislationTitles Char"/>
    <w:basedOn w:val="DefaultParagraphFont"/>
    <w:link w:val="LegislationTitles"/>
    <w:rsid w:val="00876135"/>
    <w:rPr>
      <w:rFonts w:ascii="Century Gothic" w:hAnsi="Century Gothic"/>
      <w:i/>
      <w:lang w:val="en-US" w:eastAsia="en-AU"/>
    </w:rPr>
  </w:style>
  <w:style w:type="paragraph" w:styleId="DocumentMap">
    <w:name w:val="Document Map"/>
    <w:basedOn w:val="Normal"/>
    <w:link w:val="DocumentMapChar"/>
    <w:semiHidden/>
    <w:rsid w:val="00876135"/>
    <w:pPr>
      <w:shd w:val="clear" w:color="auto" w:fill="000080"/>
      <w:autoSpaceDE w:val="0"/>
      <w:autoSpaceDN w:val="0"/>
      <w:adjustRightInd w:val="0"/>
      <w:spacing w:before="120" w:after="0" w:line="240" w:lineRule="auto"/>
    </w:pPr>
    <w:rPr>
      <w:rFonts w:ascii="Tahoma" w:eastAsia="Times New Roman" w:hAnsi="Tahoma" w:cs="Tahoma"/>
      <w:sz w:val="20"/>
      <w:szCs w:val="24"/>
      <w:lang w:eastAsia="en-AU"/>
    </w:rPr>
  </w:style>
  <w:style w:type="character" w:customStyle="1" w:styleId="DocumentMapChar">
    <w:name w:val="Document Map Char"/>
    <w:basedOn w:val="DefaultParagraphFont"/>
    <w:link w:val="DocumentMap"/>
    <w:semiHidden/>
    <w:rsid w:val="00876135"/>
    <w:rPr>
      <w:rFonts w:ascii="Tahoma" w:eastAsia="Times New Roman" w:hAnsi="Tahoma" w:cs="Tahoma"/>
      <w:sz w:val="20"/>
      <w:szCs w:val="24"/>
      <w:shd w:val="clear" w:color="auto" w:fill="000080"/>
      <w:lang w:eastAsia="en-AU"/>
    </w:rPr>
  </w:style>
  <w:style w:type="character" w:customStyle="1" w:styleId="9pt">
    <w:name w:val="9pt"/>
    <w:rsid w:val="00876135"/>
    <w:rPr>
      <w:sz w:val="18"/>
    </w:rPr>
  </w:style>
  <w:style w:type="numbering" w:customStyle="1" w:styleId="AlphaNumbering">
    <w:name w:val="AlphaNumbering"/>
    <w:basedOn w:val="NoList"/>
    <w:rsid w:val="00876135"/>
    <w:pPr>
      <w:numPr>
        <w:numId w:val="21"/>
      </w:numPr>
    </w:pPr>
  </w:style>
  <w:style w:type="paragraph" w:customStyle="1" w:styleId="AppendixHeadings">
    <w:name w:val="AppendixHeadings"/>
    <w:basedOn w:val="NumberedBody"/>
    <w:next w:val="Normal"/>
    <w:rsid w:val="00876135"/>
    <w:pPr>
      <w:numPr>
        <w:numId w:val="1"/>
      </w:numPr>
      <w:spacing w:before="240" w:after="120"/>
      <w:ind w:left="680" w:hanging="680"/>
    </w:pPr>
    <w:rPr>
      <w:b/>
      <w:sz w:val="26"/>
      <w:szCs w:val="26"/>
    </w:rPr>
  </w:style>
  <w:style w:type="character" w:customStyle="1" w:styleId="Blue">
    <w:name w:val="Blue"/>
    <w:rsid w:val="00876135"/>
    <w:rPr>
      <w:color w:val="0000FF"/>
    </w:rPr>
  </w:style>
  <w:style w:type="character" w:customStyle="1" w:styleId="Bold">
    <w:name w:val="Bold"/>
    <w:rsid w:val="00876135"/>
    <w:rPr>
      <w:b/>
    </w:rPr>
  </w:style>
  <w:style w:type="paragraph" w:customStyle="1" w:styleId="EditorialNote">
    <w:name w:val="EditorialNote"/>
    <w:basedOn w:val="Normal"/>
    <w:rsid w:val="00876135"/>
    <w:pPr>
      <w:autoSpaceDE w:val="0"/>
      <w:autoSpaceDN w:val="0"/>
      <w:adjustRightInd w:val="0"/>
      <w:spacing w:before="120" w:after="0" w:line="240" w:lineRule="auto"/>
    </w:pPr>
    <w:rPr>
      <w:rFonts w:ascii="Century Gothic" w:eastAsia="Times New Roman" w:hAnsi="Century Gothic" w:cs="Times New Roman"/>
      <w:color w:val="0000FF"/>
      <w:sz w:val="20"/>
      <w:szCs w:val="20"/>
      <w:lang w:eastAsia="en-AU"/>
    </w:rPr>
  </w:style>
  <w:style w:type="paragraph" w:customStyle="1" w:styleId="EditorsHeading">
    <w:name w:val="EditorsHeading"/>
    <w:basedOn w:val="Heading1"/>
    <w:rsid w:val="00876135"/>
    <w:pPr>
      <w:keepNext w:val="0"/>
      <w:keepLines w:val="0"/>
      <w:pBdr>
        <w:bottom w:val="single" w:sz="12" w:space="1" w:color="0000FF"/>
      </w:pBdr>
      <w:autoSpaceDE w:val="0"/>
      <w:autoSpaceDN w:val="0"/>
      <w:adjustRightInd w:val="0"/>
      <w:spacing w:after="120" w:line="240" w:lineRule="auto"/>
    </w:pPr>
    <w:rPr>
      <w:rFonts w:ascii="Century Gothic" w:eastAsia="Times New Roman" w:hAnsi="Century Gothic" w:cs="Times New Roman"/>
      <w:b/>
      <w:color w:val="0000FF"/>
      <w:sz w:val="28"/>
      <w:szCs w:val="28"/>
      <w:lang w:val="en-US" w:eastAsia="en-AU"/>
    </w:rPr>
  </w:style>
  <w:style w:type="paragraph" w:customStyle="1" w:styleId="EditorsSubheading">
    <w:name w:val="EditorsSubheading"/>
    <w:basedOn w:val="Heading4"/>
    <w:rsid w:val="00876135"/>
    <w:pPr>
      <w:keepNext w:val="0"/>
      <w:keepLines w:val="0"/>
      <w:autoSpaceDE w:val="0"/>
      <w:autoSpaceDN w:val="0"/>
      <w:adjustRightInd w:val="0"/>
      <w:spacing w:before="120" w:after="120" w:line="240" w:lineRule="auto"/>
    </w:pPr>
    <w:rPr>
      <w:rFonts w:ascii="Century Gothic" w:eastAsia="Times New Roman" w:hAnsi="Century Gothic" w:cs="Times New Roman"/>
      <w:b/>
      <w:i w:val="0"/>
      <w:iCs w:val="0"/>
      <w:color w:val="0000FF"/>
      <w:szCs w:val="24"/>
      <w:lang w:eastAsia="en-AU"/>
    </w:rPr>
  </w:style>
  <w:style w:type="character" w:customStyle="1" w:styleId="Italics">
    <w:name w:val="Italics"/>
    <w:rsid w:val="00876135"/>
    <w:rPr>
      <w:i/>
    </w:rPr>
  </w:style>
  <w:style w:type="paragraph" w:customStyle="1" w:styleId="LegislationTitles">
    <w:name w:val="LegislationTitles"/>
    <w:basedOn w:val="Normal"/>
    <w:next w:val="Normal"/>
    <w:link w:val="LegislationTitlesChar"/>
    <w:rsid w:val="00876135"/>
    <w:pPr>
      <w:autoSpaceDE w:val="0"/>
      <w:autoSpaceDN w:val="0"/>
      <w:adjustRightInd w:val="0"/>
      <w:spacing w:before="120" w:after="0" w:line="240" w:lineRule="auto"/>
    </w:pPr>
    <w:rPr>
      <w:rFonts w:ascii="Century Gothic" w:hAnsi="Century Gothic"/>
      <w:i/>
      <w:lang w:val="en-US" w:eastAsia="en-AU"/>
    </w:rPr>
  </w:style>
  <w:style w:type="paragraph" w:customStyle="1" w:styleId="PlanTitle">
    <w:name w:val="PlanTitle"/>
    <w:basedOn w:val="Normal"/>
    <w:next w:val="Normal"/>
    <w:rsid w:val="00876135"/>
    <w:pPr>
      <w:pBdr>
        <w:bottom w:val="single" w:sz="12" w:space="1" w:color="auto"/>
      </w:pBdr>
      <w:autoSpaceDE w:val="0"/>
      <w:autoSpaceDN w:val="0"/>
      <w:adjustRightInd w:val="0"/>
      <w:spacing w:before="240" w:after="240" w:line="240" w:lineRule="auto"/>
    </w:pPr>
    <w:rPr>
      <w:rFonts w:ascii="Century Gothic" w:eastAsia="Times New Roman" w:hAnsi="Century Gothic" w:cs="Times New Roman"/>
      <w:b/>
      <w:sz w:val="32"/>
      <w:szCs w:val="24"/>
      <w:lang w:eastAsia="en-AU"/>
    </w:rPr>
  </w:style>
  <w:style w:type="paragraph" w:customStyle="1" w:styleId="PlanType">
    <w:name w:val="PlanType"/>
    <w:basedOn w:val="Normal"/>
    <w:next w:val="Normal"/>
    <w:rsid w:val="00876135"/>
    <w:pPr>
      <w:autoSpaceDE w:val="0"/>
      <w:autoSpaceDN w:val="0"/>
      <w:adjustRightInd w:val="0"/>
      <w:spacing w:before="120" w:after="120" w:line="240" w:lineRule="auto"/>
    </w:pPr>
    <w:rPr>
      <w:rFonts w:ascii="Century Gothic" w:eastAsia="Times New Roman" w:hAnsi="Century Gothic" w:cs="Times New Roman"/>
      <w:b/>
      <w:sz w:val="20"/>
      <w:szCs w:val="24"/>
      <w:lang w:eastAsia="en-AU"/>
    </w:rPr>
  </w:style>
  <w:style w:type="numbering" w:customStyle="1" w:styleId="RomanNumbering">
    <w:name w:val="RomanNumbering"/>
    <w:basedOn w:val="NoList"/>
    <w:rsid w:val="00876135"/>
    <w:pPr>
      <w:numPr>
        <w:numId w:val="22"/>
      </w:numPr>
    </w:pPr>
  </w:style>
  <w:style w:type="paragraph" w:customStyle="1" w:styleId="TableDotPoints">
    <w:name w:val="TableDotPoints"/>
    <w:basedOn w:val="TabletText"/>
    <w:next w:val="Normal"/>
    <w:rsid w:val="00876135"/>
    <w:pPr>
      <w:numPr>
        <w:numId w:val="23"/>
      </w:numPr>
      <w:tabs>
        <w:tab w:val="left" w:pos="680"/>
      </w:tabs>
    </w:pPr>
  </w:style>
  <w:style w:type="paragraph" w:styleId="TableofFigures">
    <w:name w:val="table of figures"/>
    <w:basedOn w:val="Normal"/>
    <w:next w:val="Normal"/>
    <w:semiHidden/>
    <w:rsid w:val="00876135"/>
    <w:pPr>
      <w:autoSpaceDE w:val="0"/>
      <w:autoSpaceDN w:val="0"/>
      <w:adjustRightInd w:val="0"/>
      <w:spacing w:before="120" w:after="0" w:line="240" w:lineRule="auto"/>
      <w:ind w:left="400" w:hanging="400"/>
    </w:pPr>
    <w:rPr>
      <w:rFonts w:ascii="Century Gothic" w:eastAsia="Times New Roman" w:hAnsi="Century Gothic" w:cs="Times New Roman"/>
      <w:sz w:val="20"/>
      <w:szCs w:val="24"/>
      <w:lang w:eastAsia="en-AU"/>
    </w:rPr>
  </w:style>
  <w:style w:type="paragraph" w:styleId="NormalWeb">
    <w:name w:val="Normal (Web)"/>
    <w:basedOn w:val="Normal"/>
    <w:uiPriority w:val="99"/>
    <w:unhideWhenUsed/>
    <w:rsid w:val="0087613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876135"/>
    <w:rPr>
      <w:i/>
      <w:iCs/>
    </w:rPr>
  </w:style>
  <w:style w:type="character" w:styleId="CommentReference">
    <w:name w:val="annotation reference"/>
    <w:basedOn w:val="DefaultParagraphFont"/>
    <w:uiPriority w:val="99"/>
    <w:semiHidden/>
    <w:unhideWhenUsed/>
    <w:rsid w:val="00876135"/>
    <w:rPr>
      <w:sz w:val="16"/>
      <w:szCs w:val="16"/>
    </w:rPr>
  </w:style>
  <w:style w:type="paragraph" w:styleId="CommentText">
    <w:name w:val="annotation text"/>
    <w:basedOn w:val="Normal"/>
    <w:link w:val="CommentTextChar"/>
    <w:uiPriority w:val="99"/>
    <w:semiHidden/>
    <w:unhideWhenUsed/>
    <w:rsid w:val="00876135"/>
    <w:pPr>
      <w:autoSpaceDE w:val="0"/>
      <w:autoSpaceDN w:val="0"/>
      <w:adjustRightInd w:val="0"/>
      <w:spacing w:before="120" w:after="0" w:line="240" w:lineRule="auto"/>
    </w:pPr>
    <w:rPr>
      <w:rFonts w:ascii="Century Gothic" w:eastAsia="Times New Roman" w:hAnsi="Century Gothic" w:cs="Times New Roman"/>
      <w:sz w:val="20"/>
      <w:szCs w:val="20"/>
      <w:lang w:eastAsia="en-AU"/>
    </w:rPr>
  </w:style>
  <w:style w:type="character" w:customStyle="1" w:styleId="CommentTextChar">
    <w:name w:val="Comment Text Char"/>
    <w:basedOn w:val="DefaultParagraphFont"/>
    <w:link w:val="CommentText"/>
    <w:uiPriority w:val="99"/>
    <w:semiHidden/>
    <w:rsid w:val="00876135"/>
    <w:rPr>
      <w:rFonts w:ascii="Century Gothic" w:eastAsia="Times New Roman" w:hAnsi="Century Gothic"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76135"/>
    <w:rPr>
      <w:b/>
      <w:bCs/>
    </w:rPr>
  </w:style>
  <w:style w:type="character" w:customStyle="1" w:styleId="CommentSubjectChar">
    <w:name w:val="Comment Subject Char"/>
    <w:basedOn w:val="CommentTextChar"/>
    <w:link w:val="CommentSubject"/>
    <w:uiPriority w:val="99"/>
    <w:semiHidden/>
    <w:rsid w:val="00876135"/>
    <w:rPr>
      <w:rFonts w:ascii="Century Gothic" w:eastAsia="Times New Roman" w:hAnsi="Century Gothic" w:cs="Times New Roman"/>
      <w:b/>
      <w:bCs/>
      <w:sz w:val="20"/>
      <w:szCs w:val="20"/>
      <w:lang w:eastAsia="en-AU"/>
    </w:rPr>
  </w:style>
  <w:style w:type="character" w:styleId="Strong">
    <w:name w:val="Strong"/>
    <w:basedOn w:val="DefaultParagraphFont"/>
    <w:uiPriority w:val="22"/>
    <w:qFormat/>
    <w:rsid w:val="00876135"/>
    <w:rPr>
      <w:b/>
      <w:bCs/>
    </w:rPr>
  </w:style>
  <w:style w:type="paragraph" w:customStyle="1" w:styleId="GovBody">
    <w:name w:val="Gov Body"/>
    <w:basedOn w:val="Normal"/>
    <w:qFormat/>
    <w:rsid w:val="00876135"/>
    <w:pPr>
      <w:spacing w:after="120" w:line="300" w:lineRule="exact"/>
    </w:pPr>
    <w:rPr>
      <w:rFonts w:ascii="GillSans Light" w:eastAsia="Cambria" w:hAnsi="GillSans Light" w:cs="Times New Roman"/>
      <w:sz w:val="24"/>
      <w:szCs w:val="24"/>
      <w:lang w:val="en-US"/>
    </w:rPr>
  </w:style>
  <w:style w:type="character" w:styleId="FollowedHyperlink">
    <w:name w:val="FollowedHyperlink"/>
    <w:basedOn w:val="DefaultParagraphFont"/>
    <w:uiPriority w:val="99"/>
    <w:semiHidden/>
    <w:unhideWhenUsed/>
    <w:rsid w:val="008761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20626">
      <w:bodyDiv w:val="1"/>
      <w:marLeft w:val="0"/>
      <w:marRight w:val="0"/>
      <w:marTop w:val="0"/>
      <w:marBottom w:val="0"/>
      <w:divBdr>
        <w:top w:val="none" w:sz="0" w:space="0" w:color="auto"/>
        <w:left w:val="none" w:sz="0" w:space="0" w:color="auto"/>
        <w:bottom w:val="none" w:sz="0" w:space="0" w:color="auto"/>
        <w:right w:val="none" w:sz="0" w:space="0" w:color="auto"/>
      </w:divBdr>
    </w:div>
    <w:div w:id="1160077975">
      <w:bodyDiv w:val="1"/>
      <w:marLeft w:val="0"/>
      <w:marRight w:val="0"/>
      <w:marTop w:val="0"/>
      <w:marBottom w:val="0"/>
      <w:divBdr>
        <w:top w:val="none" w:sz="0" w:space="0" w:color="auto"/>
        <w:left w:val="none" w:sz="0" w:space="0" w:color="auto"/>
        <w:bottom w:val="none" w:sz="0" w:space="0" w:color="auto"/>
        <w:right w:val="none" w:sz="0" w:space="0" w:color="auto"/>
      </w:divBdr>
    </w:div>
    <w:div w:id="181949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7080</Words>
  <Characters>40359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47345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Irvine, Chris</dc:creator>
  <cp:keywords/>
  <dc:description/>
  <cp:lastModifiedBy>Edmonds, Brian</cp:lastModifiedBy>
  <cp:revision>2</cp:revision>
  <cp:lastPrinted>2016-11-04T04:22:00Z</cp:lastPrinted>
  <dcterms:created xsi:type="dcterms:W3CDTF">2016-12-18T23:58:00Z</dcterms:created>
  <dcterms:modified xsi:type="dcterms:W3CDTF">2016-12-18T23:58:00Z</dcterms:modified>
</cp:coreProperties>
</file>