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5" w:rsidRPr="00B81DE5" w:rsidRDefault="00B81DE5" w:rsidP="00B81DE5">
      <w:pPr>
        <w:pStyle w:val="Heading-cover"/>
      </w:pPr>
      <w:bookmarkStart w:id="0" w:name="_GoBack"/>
      <w:bookmarkEnd w:id="0"/>
      <w:r w:rsidRPr="00B81DE5">
        <w:t>Checklist</w:t>
      </w:r>
    </w:p>
    <w:p w:rsidR="00B81DE5" w:rsidRPr="00B81DE5" w:rsidRDefault="00B81DE5" w:rsidP="00B81DE5">
      <w:pPr>
        <w:pStyle w:val="Sub-heading-cover"/>
      </w:pPr>
      <w:r w:rsidRPr="00B81DE5">
        <w:t xml:space="preserve">Change Leadership </w:t>
      </w:r>
      <w:r>
        <w:t>Capabilities</w:t>
      </w:r>
    </w:p>
    <w:p w:rsidR="00B81DE5" w:rsidRPr="00B81DE5" w:rsidRDefault="00B81DE5" w:rsidP="00B81DE5">
      <w:pPr>
        <w:pStyle w:val="HeadingOne"/>
      </w:pPr>
      <w:r w:rsidRPr="00B81DE5">
        <w:t>Self-</w:t>
      </w:r>
      <w:r w:rsidR="00B8555A">
        <w:t>a</w:t>
      </w:r>
      <w:r w:rsidRPr="00B81DE5">
        <w:t>ssessment: &lt;Insert your name&gt;</w:t>
      </w:r>
    </w:p>
    <w:p w:rsidR="002247ED" w:rsidRDefault="00FB36A2" w:rsidP="009A0367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FB36A2">
        <w:rPr>
          <w:rFonts w:ascii="Gill Sans MT" w:hAnsi="Gill Sans MT" w:cs="Arial"/>
          <w:szCs w:val="20"/>
        </w:rPr>
        <w:t xml:space="preserve">This self-assessment helps Change Leaders </w:t>
      </w:r>
      <w:r w:rsidR="00FF0AA9">
        <w:rPr>
          <w:rFonts w:ascii="Gill Sans MT" w:hAnsi="Gill Sans MT" w:cs="Arial"/>
          <w:szCs w:val="20"/>
        </w:rPr>
        <w:t>work out</w:t>
      </w:r>
      <w:r w:rsidRPr="00FB36A2">
        <w:rPr>
          <w:rFonts w:ascii="Gill Sans MT" w:hAnsi="Gill Sans MT" w:cs="Arial"/>
          <w:szCs w:val="20"/>
        </w:rPr>
        <w:t xml:space="preserve"> their own change capabilities and is not a part of any formal skills assessment. It only takes a minute or two to complete</w:t>
      </w:r>
      <w:r w:rsidR="002247ED" w:rsidRPr="002247ED">
        <w:rPr>
          <w:rFonts w:ascii="Gill Sans MT" w:hAnsi="Gill Sans MT" w:cs="Arial"/>
          <w:szCs w:val="20"/>
        </w:rPr>
        <w:t>.</w:t>
      </w:r>
    </w:p>
    <w:p w:rsidR="00A95491" w:rsidRPr="00125943" w:rsidRDefault="00A95491" w:rsidP="000D41A5">
      <w:pPr>
        <w:shd w:val="clear" w:color="auto" w:fill="DBE5F1" w:themeFill="accent1" w:themeFillTint="33"/>
        <w:tabs>
          <w:tab w:val="left" w:pos="993"/>
          <w:tab w:val="left" w:pos="3402"/>
          <w:tab w:val="left" w:pos="4962"/>
          <w:tab w:val="left" w:pos="6379"/>
          <w:tab w:val="left" w:pos="7655"/>
        </w:tabs>
        <w:spacing w:before="240" w:after="120" w:line="276" w:lineRule="auto"/>
        <w:jc w:val="both"/>
        <w:rPr>
          <w:rFonts w:ascii="Gill Sans MT" w:hAnsi="Gill Sans MT" w:cs="Arial"/>
          <w:b/>
          <w:color w:val="1F497D" w:themeColor="text2"/>
          <w:sz w:val="18"/>
          <w:szCs w:val="22"/>
        </w:rPr>
      </w:pP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>Rating: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ab/>
        <w:t>1= Strongly disagree</w:t>
      </w:r>
      <w:r w:rsidR="002C4C57">
        <w:rPr>
          <w:rFonts w:ascii="Gill Sans MT" w:hAnsi="Gill Sans MT" w:cs="Arial"/>
          <w:b/>
          <w:color w:val="1F497D" w:themeColor="text2"/>
          <w:sz w:val="22"/>
          <w:szCs w:val="20"/>
        </w:rPr>
        <w:t>.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 xml:space="preserve"> 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ab/>
        <w:t>2 = Disagree</w:t>
      </w:r>
      <w:r w:rsidR="002C4C57">
        <w:rPr>
          <w:rFonts w:ascii="Gill Sans MT" w:hAnsi="Gill Sans MT" w:cs="Arial"/>
          <w:b/>
          <w:color w:val="1F497D" w:themeColor="text2"/>
          <w:sz w:val="22"/>
          <w:szCs w:val="20"/>
        </w:rPr>
        <w:t>.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 xml:space="preserve"> 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ab/>
        <w:t>3 = Neutral</w:t>
      </w:r>
      <w:r w:rsidR="002C4C57">
        <w:rPr>
          <w:rFonts w:ascii="Gill Sans MT" w:hAnsi="Gill Sans MT" w:cs="Arial"/>
          <w:b/>
          <w:color w:val="1F497D" w:themeColor="text2"/>
          <w:sz w:val="22"/>
          <w:szCs w:val="20"/>
        </w:rPr>
        <w:t>.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 xml:space="preserve"> 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ab/>
        <w:t>4 = Agree</w:t>
      </w:r>
      <w:r w:rsidR="002C4C57">
        <w:rPr>
          <w:rFonts w:ascii="Gill Sans MT" w:hAnsi="Gill Sans MT" w:cs="Arial"/>
          <w:b/>
          <w:color w:val="1F497D" w:themeColor="text2"/>
          <w:sz w:val="22"/>
          <w:szCs w:val="20"/>
        </w:rPr>
        <w:t>.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 xml:space="preserve"> </w:t>
      </w:r>
      <w:r w:rsidRPr="00125943">
        <w:rPr>
          <w:rFonts w:ascii="Gill Sans MT" w:hAnsi="Gill Sans MT" w:cs="Arial"/>
          <w:b/>
          <w:color w:val="1F497D" w:themeColor="text2"/>
          <w:sz w:val="22"/>
          <w:szCs w:val="20"/>
        </w:rPr>
        <w:tab/>
        <w:t>5 = Strongly agree</w:t>
      </w:r>
      <w:r w:rsidR="002C4C57">
        <w:rPr>
          <w:rFonts w:ascii="Gill Sans MT" w:hAnsi="Gill Sans MT" w:cs="Arial"/>
          <w:b/>
          <w:color w:val="1F497D" w:themeColor="text2"/>
          <w:sz w:val="22"/>
          <w:szCs w:val="20"/>
        </w:rPr>
        <w:t>.</w:t>
      </w:r>
    </w:p>
    <w:p w:rsidR="00A95491" w:rsidRDefault="00125943" w:rsidP="00523E8D">
      <w:pPr>
        <w:pStyle w:val="HeadingThree"/>
      </w:pPr>
      <w:r w:rsidRPr="00523E8D">
        <w:t>Personal qualities</w:t>
      </w:r>
      <w:r w:rsidR="002C4C57" w:rsidRPr="00214B56">
        <w:rPr>
          <w:color w:val="FFFFFF" w:themeColor="background1"/>
        </w:rPr>
        <w:t>.</w:t>
      </w:r>
    </w:p>
    <w:tbl>
      <w:tblPr>
        <w:tblStyle w:val="LightList-Accent1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20" w:firstRow="1" w:lastRow="0" w:firstColumn="0" w:lastColumn="0" w:noHBand="0" w:noVBand="1"/>
        <w:tblCaption w:val="Personal qualities"/>
        <w:tblDescription w:val="Personal qualities self assessment. Rate 1 to 5."/>
      </w:tblPr>
      <w:tblGrid>
        <w:gridCol w:w="1701"/>
        <w:gridCol w:w="6521"/>
        <w:gridCol w:w="1843"/>
      </w:tblGrid>
      <w:tr w:rsidR="00CE7705" w:rsidRPr="000A212F" w:rsidTr="00C2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701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CE7705" w:rsidRPr="000A212F" w:rsidRDefault="00CE7705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Capability</w:t>
            </w:r>
            <w:r w:rsidR="002C4C57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CE7705" w:rsidRPr="000A212F" w:rsidRDefault="00CE7705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Description</w:t>
            </w:r>
            <w:r w:rsidR="002C4C57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CE7705" w:rsidRPr="000A212F" w:rsidRDefault="00CE7705" w:rsidP="00C26A94">
            <w:pPr>
              <w:spacing w:before="60" w:after="60" w:line="276" w:lineRule="auto"/>
              <w:ind w:right="-108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Rating</w:t>
            </w:r>
            <w:r w:rsidR="002C4C57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</w:tr>
      <w:tr w:rsidR="00C26A94" w:rsidRPr="000A212F" w:rsidTr="00C2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Adaptability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  <w:shd w:val="clear" w:color="auto" w:fill="DBE5F1" w:themeFill="accent1" w:themeFillTint="33"/>
              </w:rPr>
              <w:t>.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Accepts new and different situations as a matter of course.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2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antSplit/>
          <w:trHeight w:val="20"/>
        </w:trPr>
        <w:tc>
          <w:tcPr>
            <w:tcW w:w="170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Confidence</w:t>
            </w:r>
            <w:r w:rsidRPr="00B91678">
              <w:rPr>
                <w:rFonts w:ascii="Gill Sans MT" w:hAnsi="Gill Sans MT" w:cs="Arial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0A212F">
              <w:rPr>
                <w:rFonts w:ascii="Gill Sans MT" w:eastAsia="Times New Roman" w:hAnsi="Gill Sans MT" w:cs="Arial"/>
                <w:sz w:val="22"/>
                <w:szCs w:val="22"/>
              </w:rPr>
              <w:t>Trusts in own abilities, knowledge, and judgement.</w:t>
            </w:r>
          </w:p>
        </w:tc>
        <w:tc>
          <w:tcPr>
            <w:tcW w:w="1843" w:type="dxa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2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Creativity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Comes up with new or different ways of thinking, working or solving problems.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2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antSplit/>
          <w:trHeight w:val="20"/>
        </w:trPr>
        <w:tc>
          <w:tcPr>
            <w:tcW w:w="170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Empathy</w:t>
            </w:r>
            <w:r w:rsidRPr="00B91678">
              <w:rPr>
                <w:rFonts w:ascii="Gill Sans MT" w:hAnsi="Gill Sans MT" w:cs="Arial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Understands the experiences, feelings, and viewpoints of others</w:t>
            </w:r>
          </w:p>
        </w:tc>
        <w:tc>
          <w:tcPr>
            <w:tcW w:w="1843" w:type="dxa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2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Good with people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Can quickly establish a natural rapport with a range of people.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2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antSplit/>
          <w:trHeight w:val="20"/>
        </w:trPr>
        <w:tc>
          <w:tcPr>
            <w:tcW w:w="170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Resilience</w:t>
            </w:r>
            <w:r w:rsidRPr="00B91678">
              <w:rPr>
                <w:rFonts w:ascii="Gill Sans MT" w:hAnsi="Gill Sans MT" w:cs="Arial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Maintains a positive attitude and continues to deliver consistent quality work in the face of challenging situations.</w:t>
            </w:r>
          </w:p>
        </w:tc>
        <w:tc>
          <w:tcPr>
            <w:tcW w:w="1843" w:type="dxa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2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Self-awareness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Is aware of own strengths and limitations, and of the impact that their conduct has on others.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2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antSplit/>
          <w:trHeight w:val="20"/>
        </w:trPr>
        <w:tc>
          <w:tcPr>
            <w:tcW w:w="170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Self-control</w:t>
            </w:r>
            <w:r w:rsidRPr="00B91678">
              <w:rPr>
                <w:rFonts w:ascii="Gill Sans MT" w:hAnsi="Gill Sans MT" w:cs="Arial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Controls own emotions, impulses and behaviours in line with expectations associated with different social situations.</w:t>
            </w:r>
          </w:p>
        </w:tc>
        <w:tc>
          <w:tcPr>
            <w:tcW w:w="1843" w:type="dxa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2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</w:tbl>
    <w:p w:rsidR="00125943" w:rsidRPr="00214B56" w:rsidRDefault="00125943" w:rsidP="00523E8D">
      <w:pPr>
        <w:pStyle w:val="HeadingThree"/>
        <w:rPr>
          <w:color w:val="FFFFFF" w:themeColor="background1"/>
        </w:rPr>
      </w:pPr>
      <w:r w:rsidRPr="00523E8D">
        <w:t>Mindset</w:t>
      </w:r>
      <w:r w:rsidR="00D149A9" w:rsidRPr="00214B56">
        <w:rPr>
          <w:color w:val="FFFFFF" w:themeColor="background1"/>
        </w:rPr>
        <w:t>.</w:t>
      </w:r>
    </w:p>
    <w:tbl>
      <w:tblPr>
        <w:tblStyle w:val="LightList-Accent1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20" w:firstRow="1" w:lastRow="0" w:firstColumn="0" w:lastColumn="0" w:noHBand="0" w:noVBand="1"/>
        <w:tblCaption w:val="Mindset"/>
        <w:tblDescription w:val="Mindset self assessment. Rate 1 to 5."/>
      </w:tblPr>
      <w:tblGrid>
        <w:gridCol w:w="1701"/>
        <w:gridCol w:w="6521"/>
        <w:gridCol w:w="1843"/>
      </w:tblGrid>
      <w:tr w:rsidR="00A11A75" w:rsidRPr="000A212F" w:rsidTr="00C2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  <w:tblHeader/>
        </w:trPr>
        <w:tc>
          <w:tcPr>
            <w:tcW w:w="1701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A11A75" w:rsidRPr="000A212F" w:rsidRDefault="00A11A75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Capability</w:t>
            </w:r>
            <w:r w:rsidR="00D149A9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A11A75" w:rsidRPr="000A212F" w:rsidRDefault="00A11A75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Description</w:t>
            </w:r>
            <w:r w:rsidR="00D149A9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A11A75" w:rsidRPr="000A212F" w:rsidRDefault="00A11A75" w:rsidP="00C26A94">
            <w:pPr>
              <w:spacing w:before="60" w:after="60" w:line="276" w:lineRule="auto"/>
              <w:ind w:right="-108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Rating</w:t>
            </w:r>
            <w:r w:rsidR="00D149A9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</w:tr>
      <w:tr w:rsidR="00C26A94" w:rsidRPr="000A212F" w:rsidTr="00C2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Big picture focus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Considers current situations, challenges, or ideas in the widest possible context.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antSplit/>
          <w:trHeight w:val="397"/>
        </w:trPr>
        <w:tc>
          <w:tcPr>
            <w:tcW w:w="170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Brokerage mindset</w:t>
            </w:r>
            <w:r w:rsidRPr="00B91678">
              <w:rPr>
                <w:rFonts w:ascii="Gill Sans MT" w:hAnsi="Gill Sans MT" w:cs="Arial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Looks to create connections between people or endeavours.</w:t>
            </w:r>
          </w:p>
        </w:tc>
        <w:tc>
          <w:tcPr>
            <w:tcW w:w="1843" w:type="dxa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Collaborative mindset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Approaches activities, decisions and outcomes from the perspective of working with others.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antSplit/>
          <w:trHeight w:val="397"/>
        </w:trPr>
        <w:tc>
          <w:tcPr>
            <w:tcW w:w="170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Continuous improvement focus</w:t>
            </w:r>
            <w:r w:rsidRPr="00B91678">
              <w:rPr>
                <w:rFonts w:ascii="Gill Sans MT" w:hAnsi="Gill Sans MT" w:cs="Arial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Considers activities, decisions and outcomes from the perspective of making things work better.</w:t>
            </w:r>
          </w:p>
        </w:tc>
        <w:tc>
          <w:tcPr>
            <w:tcW w:w="1843" w:type="dxa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0A212F" w:rsidTr="00C2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Results orientation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:rsidR="00C26A94" w:rsidRPr="000A212F" w:rsidRDefault="00C26A94" w:rsidP="009A0367">
            <w:pPr>
              <w:spacing w:before="60" w:after="60" w:line="276" w:lineRule="auto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0A212F">
              <w:rPr>
                <w:rFonts w:ascii="Gill Sans MT" w:eastAsia="Times New Roman" w:hAnsi="Gill Sans MT" w:cs="Arial"/>
                <w:sz w:val="22"/>
                <w:szCs w:val="22"/>
              </w:rPr>
              <w:t>Uses the ultimate purpose of any given endeavour to provide the basis for decision-making and motivation.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</w:tbl>
    <w:p w:rsidR="008C269F" w:rsidRDefault="008C269F" w:rsidP="009A0367">
      <w:pPr>
        <w:spacing w:before="240" w:after="60" w:line="276" w:lineRule="auto"/>
        <w:rPr>
          <w:rFonts w:ascii="Gill Sans MT" w:hAnsi="Gill Sans MT" w:cs="Arial"/>
          <w:b/>
          <w:color w:val="000000" w:themeColor="text1"/>
          <w:szCs w:val="20"/>
        </w:rPr>
        <w:sectPr w:rsidR="008C269F" w:rsidSect="000D41A5">
          <w:footerReference w:type="default" r:id="rId9"/>
          <w:footerReference w:type="first" r:id="rId10"/>
          <w:type w:val="continuous"/>
          <w:pgSz w:w="11906" w:h="16838"/>
          <w:pgMar w:top="720" w:right="707" w:bottom="1287" w:left="1134" w:header="709" w:footer="539" w:gutter="0"/>
          <w:cols w:space="709"/>
          <w:docGrid w:linePitch="360"/>
        </w:sectPr>
      </w:pPr>
    </w:p>
    <w:p w:rsidR="008C269F" w:rsidRDefault="008C269F" w:rsidP="00523E8D">
      <w:pPr>
        <w:pStyle w:val="HeadingThree"/>
      </w:pPr>
      <w:r w:rsidRPr="00523E8D">
        <w:lastRenderedPageBreak/>
        <w:t>Contextual knowledge</w:t>
      </w:r>
      <w:r w:rsidR="00C85E54" w:rsidRPr="00214B56">
        <w:rPr>
          <w:color w:val="FFFFFF" w:themeColor="background1"/>
        </w:rPr>
        <w:t>.</w:t>
      </w:r>
    </w:p>
    <w:tbl>
      <w:tblPr>
        <w:tblStyle w:val="LightList-Accent1"/>
        <w:tblW w:w="10207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20" w:firstRow="1" w:lastRow="0" w:firstColumn="0" w:lastColumn="0" w:noHBand="0" w:noVBand="1"/>
        <w:tblCaption w:val="Contextual knowledge"/>
        <w:tblDescription w:val="Contextual knowledge self assessment. Rate 1 to 5."/>
      </w:tblPr>
      <w:tblGrid>
        <w:gridCol w:w="1560"/>
        <w:gridCol w:w="6804"/>
        <w:gridCol w:w="1843"/>
      </w:tblGrid>
      <w:tr w:rsidR="000A212F" w:rsidRPr="00FB36A2" w:rsidTr="00FF0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60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0A212F" w:rsidRPr="000A212F" w:rsidRDefault="000A212F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Capability</w:t>
            </w:r>
            <w:r w:rsidR="00C85E54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0A212F" w:rsidRPr="000A212F" w:rsidRDefault="000A212F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Description</w:t>
            </w:r>
            <w:r w:rsidR="00C85E54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0A212F" w:rsidRPr="000A212F" w:rsidRDefault="00D149A9" w:rsidP="00C26A94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Rating</w:t>
            </w:r>
            <w:r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</w:tr>
      <w:tr w:rsidR="00C26A94" w:rsidRPr="00FB36A2" w:rsidTr="00FF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560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Knowledge about the organisation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Understands the organisation's purpose, directions, design, and ways of working.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717FAD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</w:tbl>
    <w:p w:rsidR="00125943" w:rsidRPr="00523E8D" w:rsidRDefault="00125943" w:rsidP="00523E8D">
      <w:pPr>
        <w:pStyle w:val="HeadingThree"/>
      </w:pPr>
      <w:r w:rsidRPr="00523E8D">
        <w:t>Practical knowledge</w:t>
      </w:r>
      <w:r w:rsidR="00C85E54" w:rsidRPr="00214B56">
        <w:rPr>
          <w:color w:val="FFFFFF" w:themeColor="background1"/>
        </w:rPr>
        <w:t>.</w:t>
      </w:r>
    </w:p>
    <w:tbl>
      <w:tblPr>
        <w:tblStyle w:val="LightList-Accent1"/>
        <w:tblW w:w="10207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20" w:firstRow="1" w:lastRow="0" w:firstColumn="0" w:lastColumn="0" w:noHBand="0" w:noVBand="1"/>
        <w:tblCaption w:val="Practical knowledge"/>
        <w:tblDescription w:val="Practical knowledge self assessment. Rate 1 to 5."/>
      </w:tblPr>
      <w:tblGrid>
        <w:gridCol w:w="1560"/>
        <w:gridCol w:w="6804"/>
        <w:gridCol w:w="1843"/>
      </w:tblGrid>
      <w:tr w:rsidR="000A212F" w:rsidRPr="00FB36A2" w:rsidTr="00FF0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60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0A212F" w:rsidRPr="000A212F" w:rsidRDefault="000A212F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Capability</w:t>
            </w:r>
            <w:r w:rsidR="00C85E54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0A212F" w:rsidRPr="000A212F" w:rsidRDefault="000A212F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Description</w:t>
            </w:r>
            <w:r w:rsidR="00C85E54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0A212F" w:rsidRPr="000A212F" w:rsidRDefault="00D149A9" w:rsidP="00C26A94">
            <w:pPr>
              <w:spacing w:before="60" w:after="60"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Rating</w:t>
            </w:r>
            <w:r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</w:tr>
      <w:tr w:rsidR="00C26A94" w:rsidRPr="00FB36A2" w:rsidTr="00FF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560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Knowledge of organisational management concepts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Understands principles, practices and standards associated with designing, implementing and monitoring organisational activities, in business-as-usual situations and during times of change.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FB36A2" w:rsidTr="00FF0AA9">
        <w:trPr>
          <w:cantSplit/>
        </w:trPr>
        <w:tc>
          <w:tcPr>
            <w:tcW w:w="1560" w:type="dxa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Knowledge of service design concepts</w:t>
            </w:r>
            <w:r w:rsidRPr="00B91678">
              <w:rPr>
                <w:rFonts w:ascii="Gill Sans MT" w:hAnsi="Gill Sans MT" w:cs="Arial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Understands principles, practices and standards associated with designing, implementing and monitoring ways in which members of the community interact with, and receive benefit from, the public sector.</w:t>
            </w:r>
          </w:p>
        </w:tc>
        <w:tc>
          <w:tcPr>
            <w:tcW w:w="1843" w:type="dxa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</w:tbl>
    <w:p w:rsidR="008C269F" w:rsidRPr="00523E8D" w:rsidRDefault="00125943" w:rsidP="00523E8D">
      <w:pPr>
        <w:pStyle w:val="HeadingThree"/>
      </w:pPr>
      <w:r w:rsidRPr="00523E8D">
        <w:t>Skills</w:t>
      </w:r>
      <w:r w:rsidR="00C85E54" w:rsidRPr="00214B56">
        <w:rPr>
          <w:color w:val="FFFFFF" w:themeColor="background1"/>
        </w:rPr>
        <w:t>.</w:t>
      </w:r>
    </w:p>
    <w:tbl>
      <w:tblPr>
        <w:tblStyle w:val="LightList-Accent1"/>
        <w:tblW w:w="10207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20" w:firstRow="1" w:lastRow="0" w:firstColumn="0" w:lastColumn="0" w:noHBand="0" w:noVBand="1"/>
        <w:tblCaption w:val="Skills "/>
        <w:tblDescription w:val="Skills self assessment. Rate 1 to 5."/>
      </w:tblPr>
      <w:tblGrid>
        <w:gridCol w:w="1560"/>
        <w:gridCol w:w="6804"/>
        <w:gridCol w:w="1843"/>
      </w:tblGrid>
      <w:tr w:rsidR="000A212F" w:rsidRPr="00FB36A2" w:rsidTr="00FF0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60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0A212F" w:rsidRPr="000A212F" w:rsidRDefault="000A212F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Capability</w:t>
            </w:r>
            <w:r w:rsidR="00C85E54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0A212F" w:rsidRPr="000A212F" w:rsidRDefault="000A212F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Description</w:t>
            </w:r>
            <w:r w:rsidR="00C85E54"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0A212F" w:rsidRPr="000A212F" w:rsidRDefault="00D149A9" w:rsidP="00C26A94">
            <w:pPr>
              <w:spacing w:before="60" w:after="60" w:line="276" w:lineRule="auto"/>
              <w:ind w:firstLine="34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212F">
              <w:rPr>
                <w:rFonts w:ascii="Gill Sans MT" w:hAnsi="Gill Sans MT" w:cs="Arial"/>
                <w:sz w:val="22"/>
                <w:szCs w:val="22"/>
              </w:rPr>
              <w:t>Rating</w:t>
            </w:r>
            <w:r w:rsidRPr="00214B56">
              <w:rPr>
                <w:rFonts w:ascii="Gill Sans MT" w:hAnsi="Gill Sans MT" w:cs="Arial"/>
                <w:color w:val="1F497D" w:themeColor="text2"/>
                <w:sz w:val="22"/>
                <w:szCs w:val="22"/>
              </w:rPr>
              <w:t>.</w:t>
            </w:r>
          </w:p>
        </w:tc>
      </w:tr>
      <w:tr w:rsidR="00C26A94" w:rsidRPr="00FB36A2" w:rsidTr="00FF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560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Conceptual thinking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eastAsia="Times New Roman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eastAsia="Times New Roman" w:hAnsi="Gill Sans MT" w:cs="Arial"/>
                <w:sz w:val="22"/>
                <w:szCs w:val="22"/>
              </w:rPr>
              <w:t>Is able to think about intangible and abstract concepts.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FB36A2" w:rsidTr="00FF0AA9">
        <w:trPr>
          <w:cantSplit/>
        </w:trPr>
        <w:tc>
          <w:tcPr>
            <w:tcW w:w="1560" w:type="dxa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Influencing skills</w:t>
            </w:r>
            <w:r w:rsidRPr="00B91678">
              <w:rPr>
                <w:rFonts w:ascii="Gill Sans MT" w:hAnsi="Gill Sans MT" w:cs="Arial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Is able to affect the beliefs, behaviours or actions of other people.</w:t>
            </w:r>
          </w:p>
        </w:tc>
        <w:tc>
          <w:tcPr>
            <w:tcW w:w="1843" w:type="dxa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FB36A2" w:rsidTr="00FF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560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Negotiation skills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FB36A2">
              <w:rPr>
                <w:rFonts w:ascii="Gill Sans MT" w:eastAsia="Times New Roman" w:hAnsi="Gill Sans MT" w:cs="Arial"/>
                <w:sz w:val="22"/>
                <w:szCs w:val="22"/>
              </w:rPr>
              <w:t>Is able to work with two or more parties to achieve agreement.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FB36A2" w:rsidTr="00FF0AA9">
        <w:trPr>
          <w:cantSplit/>
        </w:trPr>
        <w:tc>
          <w:tcPr>
            <w:tcW w:w="1560" w:type="dxa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Presentation skills</w:t>
            </w:r>
            <w:r w:rsidRPr="00B91678">
              <w:rPr>
                <w:rFonts w:ascii="Gill Sans MT" w:hAnsi="Gill Sans MT" w:cs="Arial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FB36A2">
              <w:rPr>
                <w:rFonts w:ascii="Gill Sans MT" w:eastAsia="Times New Roman" w:hAnsi="Gill Sans MT" w:cs="Arial"/>
                <w:sz w:val="22"/>
                <w:szCs w:val="22"/>
              </w:rPr>
              <w:t>Is able to provide information to a group of people in a formal manner, often using audio-visual materials.</w:t>
            </w:r>
          </w:p>
        </w:tc>
        <w:tc>
          <w:tcPr>
            <w:tcW w:w="1843" w:type="dxa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FB36A2" w:rsidTr="00FF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560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Problem solving skills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Is able to identify and implement solutions to address difficult situations.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FB36A2" w:rsidTr="00FF0AA9">
        <w:trPr>
          <w:cantSplit/>
        </w:trPr>
        <w:tc>
          <w:tcPr>
            <w:tcW w:w="1560" w:type="dxa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Stakeholder skills</w:t>
            </w:r>
            <w:r w:rsidRPr="00B91678">
              <w:rPr>
                <w:rFonts w:ascii="Gill Sans MT" w:hAnsi="Gill Sans MT" w:cs="Arial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Is able to keep interested parties informed about, and engaged with, a particular endeavour, while managing their expectations about outcomes.</w:t>
            </w:r>
          </w:p>
        </w:tc>
        <w:tc>
          <w:tcPr>
            <w:tcW w:w="1843" w:type="dxa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  <w:tr w:rsidR="00C26A94" w:rsidRPr="00FB36A2" w:rsidTr="00FF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560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B36A2">
              <w:rPr>
                <w:rFonts w:ascii="Gill Sans MT" w:hAnsi="Gill Sans MT" w:cs="Arial"/>
                <w:sz w:val="22"/>
                <w:szCs w:val="22"/>
              </w:rPr>
              <w:t>Strategy Skills</w:t>
            </w:r>
            <w:r w:rsidRPr="00B91678">
              <w:rPr>
                <w:rFonts w:ascii="Gill Sans MT" w:hAnsi="Gill Sans MT" w:cs="Arial"/>
                <w:color w:val="DBE5F1" w:themeColor="accent1" w:themeTint="33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C26A94" w:rsidRPr="00FB36A2" w:rsidRDefault="00C26A94" w:rsidP="009A0367">
            <w:pPr>
              <w:spacing w:before="60" w:after="60" w:line="276" w:lineRule="auto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FB36A2">
              <w:rPr>
                <w:rFonts w:ascii="Gill Sans MT" w:eastAsia="Times New Roman" w:hAnsi="Gill Sans MT" w:cs="Arial"/>
                <w:sz w:val="22"/>
                <w:szCs w:val="22"/>
              </w:rPr>
              <w:t>Is able to determine and articulate an approach to achieve a specific outcome, taking into account ambiguities, difficulties, obstacles, changing circumstances, and consequences.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26A94" w:rsidRPr="00C26A94" w:rsidRDefault="00C26A94" w:rsidP="00C26A94">
            <w:pPr>
              <w:tabs>
                <w:tab w:val="left" w:pos="317"/>
                <w:tab w:val="left" w:pos="743"/>
                <w:tab w:val="left" w:pos="1026"/>
                <w:tab w:val="left" w:pos="1451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C26A94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C26A94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</w:tr>
    </w:tbl>
    <w:p w:rsidR="00B65D0E" w:rsidRPr="00125943" w:rsidRDefault="00B65D0E" w:rsidP="009A0367">
      <w:pPr>
        <w:spacing w:before="240" w:after="120" w:line="276" w:lineRule="auto"/>
        <w:rPr>
          <w:rFonts w:ascii="Gill Sans MT" w:hAnsi="Gill Sans MT" w:cs="Arial"/>
          <w:b/>
          <w:color w:val="1F497D" w:themeColor="text2"/>
          <w:szCs w:val="20"/>
        </w:rPr>
      </w:pPr>
      <w:r w:rsidRPr="00125943">
        <w:rPr>
          <w:rFonts w:ascii="Gill Sans MT" w:hAnsi="Gill Sans MT" w:cs="Arial"/>
          <w:b/>
          <w:color w:val="1F497D" w:themeColor="text2"/>
          <w:szCs w:val="20"/>
        </w:rPr>
        <w:t>Interpretation</w:t>
      </w:r>
      <w:r w:rsidR="00E01AF1" w:rsidRPr="00214B56">
        <w:rPr>
          <w:rFonts w:ascii="Gill Sans MT" w:hAnsi="Gill Sans MT" w:cs="Arial"/>
          <w:b/>
          <w:color w:val="FFFFFF" w:themeColor="background1"/>
          <w:szCs w:val="20"/>
        </w:rPr>
        <w:t>.</w:t>
      </w:r>
    </w:p>
    <w:p w:rsidR="00FF0AA9" w:rsidRDefault="00FB36A2" w:rsidP="009A0367">
      <w:pPr>
        <w:spacing w:before="120" w:after="120" w:line="276" w:lineRule="auto"/>
        <w:rPr>
          <w:rFonts w:ascii="Gill Sans MT" w:hAnsi="Gill Sans MT" w:cs="Arial"/>
        </w:rPr>
      </w:pPr>
      <w:r w:rsidRPr="00FB36A2">
        <w:rPr>
          <w:rFonts w:ascii="Gill Sans MT" w:hAnsi="Gill Sans MT" w:cs="Arial"/>
        </w:rPr>
        <w:t>The change may not be successful if you are in the ‘strongly disagree’, ‘disagree’ or ‘neutral’ zone for any of these questions.</w:t>
      </w:r>
      <w:r w:rsidR="00FF0AA9">
        <w:rPr>
          <w:rFonts w:ascii="Gill Sans MT" w:hAnsi="Gill Sans MT" w:cs="Arial"/>
        </w:rPr>
        <w:t xml:space="preserve"> </w:t>
      </w:r>
    </w:p>
    <w:p w:rsidR="000D357A" w:rsidRPr="002247ED" w:rsidRDefault="00FB36A2" w:rsidP="009A0367">
      <w:pPr>
        <w:spacing w:before="120" w:after="120" w:line="276" w:lineRule="auto"/>
        <w:rPr>
          <w:rFonts w:ascii="Gill Sans MT" w:hAnsi="Gill Sans MT" w:cs="Arial"/>
        </w:rPr>
      </w:pPr>
      <w:r w:rsidRPr="00FB36A2">
        <w:rPr>
          <w:rFonts w:ascii="Gill Sans MT" w:hAnsi="Gill Sans MT" w:cs="Arial"/>
        </w:rPr>
        <w:t>Consider increasing your capabilities and understanding of change through improving your theoretical and behavioural underpinnings; or speaking to an experienced change manager/leader or undertaking some learning and development program to move yourself into the ‘agree’ or ‘strongly agree’ state.</w:t>
      </w:r>
    </w:p>
    <w:sectPr w:rsidR="000D357A" w:rsidRPr="002247ED" w:rsidSect="00742BCF">
      <w:headerReference w:type="default" r:id="rId11"/>
      <w:footerReference w:type="default" r:id="rId12"/>
      <w:pgSz w:w="11906" w:h="16838"/>
      <w:pgMar w:top="720" w:right="720" w:bottom="73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8" w:rsidRPr="005D13D8" w:rsidRDefault="00C26A94" w:rsidP="005D13D8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63360" behindDoc="1" locked="0" layoutInCell="1" allowOverlap="1" wp14:anchorId="33D645BF" wp14:editId="3E3E7911">
          <wp:simplePos x="0" y="0"/>
          <wp:positionH relativeFrom="column">
            <wp:posOffset>-262890</wp:posOffset>
          </wp:positionH>
          <wp:positionV relativeFrom="paragraph">
            <wp:posOffset>-492125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3D8">
      <w:rPr>
        <w:rFonts w:ascii="Gill Sans MT" w:hAnsi="Gill Sans MT"/>
        <w:sz w:val="20"/>
        <w:szCs w:val="20"/>
      </w:rPr>
      <w:t>State Service Management Office</w:t>
    </w:r>
  </w:p>
  <w:p w:rsidR="001E20B5" w:rsidRPr="008B07AE" w:rsidRDefault="005D13D8" w:rsidP="005D13D8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D5" w:rsidRDefault="006E7AD5" w:rsidP="006E7AD5">
    <w:pPr>
      <w:pStyle w:val="Footer"/>
      <w:tabs>
        <w:tab w:val="clear" w:pos="4513"/>
        <w:tab w:val="clear" w:pos="9026"/>
        <w:tab w:val="left" w:pos="2493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9F" w:rsidRPr="00742BCF" w:rsidRDefault="007834EE" w:rsidP="00FF0AA9">
    <w:pPr>
      <w:spacing w:after="120" w:line="276" w:lineRule="auto"/>
      <w:ind w:right="-23"/>
    </w:pPr>
    <w:r>
      <w:rPr>
        <w:rFonts w:ascii="Gill Sans MT" w:hAnsi="Gill Sans MT" w:cs="Arial"/>
        <w:b/>
        <w:color w:val="000000" w:themeColor="text1"/>
        <w:sz w:val="20"/>
        <w:szCs w:val="20"/>
      </w:rPr>
      <w:t>Reference</w:t>
    </w:r>
    <w:r w:rsidR="00850F60" w:rsidRPr="009C16EC">
      <w:rPr>
        <w:rFonts w:ascii="Gill Sans MT" w:hAnsi="Gill Sans MT" w:cs="Arial"/>
        <w:b/>
        <w:color w:val="000000" w:themeColor="text1"/>
        <w:sz w:val="20"/>
        <w:szCs w:val="20"/>
      </w:rPr>
      <w:t>:</w:t>
    </w:r>
    <w:r w:rsidR="00850F60" w:rsidRPr="009C16EC">
      <w:rPr>
        <w:rFonts w:ascii="Gill Sans MT" w:hAnsi="Gill Sans MT" w:cs="Arial"/>
        <w:color w:val="000000" w:themeColor="text1"/>
        <w:sz w:val="20"/>
      </w:rPr>
      <w:t xml:space="preserve">  </w:t>
    </w:r>
    <w:r w:rsidR="00850F60" w:rsidRPr="00850F60">
      <w:rPr>
        <w:rFonts w:ascii="Gill Sans MT" w:hAnsi="Gill Sans MT" w:cs="Arial"/>
        <w:sz w:val="20"/>
      </w:rPr>
      <w:t>Victorian Public Sector Commission</w:t>
    </w:r>
    <w:r w:rsidR="00850F60" w:rsidRPr="003B66C8">
      <w:rPr>
        <w:rFonts w:ascii="Gill Sans MT" w:hAnsi="Gill Sans MT" w:cs="Arial"/>
        <w:sz w:val="20"/>
      </w:rPr>
      <w:t xml:space="preserve">, </w:t>
    </w:r>
    <w:r w:rsidR="00850F60">
      <w:rPr>
        <w:rFonts w:ascii="Gill Sans MT" w:hAnsi="Gill Sans MT" w:cs="Arial"/>
        <w:sz w:val="20"/>
      </w:rPr>
      <w:t xml:space="preserve">Organisational Change, </w:t>
    </w:r>
    <w:r w:rsidR="00850F60" w:rsidRPr="003B66C8">
      <w:rPr>
        <w:rFonts w:ascii="Gill Sans MT" w:hAnsi="Gill Sans MT" w:cs="Arial"/>
        <w:sz w:val="20"/>
      </w:rPr>
      <w:t xml:space="preserve">Sourced on 3 February 2016, </w:t>
    </w:r>
    <w:r w:rsidR="00850F60" w:rsidRPr="00850F60">
      <w:rPr>
        <w:rFonts w:ascii="Gill Sans MT" w:hAnsi="Gill Sans MT" w:cs="Arial"/>
        <w:sz w:val="20"/>
      </w:rPr>
      <w:t>http://vpsc.vic.gov.au/resources/organisational-change/Victoria</w:t>
    </w:r>
    <w:r w:rsidR="00850F60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9F" w:rsidRDefault="00814CD5" w:rsidP="00FF0AA9">
    <w:pPr>
      <w:pStyle w:val="Header"/>
      <w:tabs>
        <w:tab w:val="clear" w:pos="4513"/>
        <w:tab w:val="clear" w:pos="9026"/>
        <w:tab w:val="right" w:pos="10065"/>
      </w:tabs>
      <w:spacing w:before="120" w:after="120" w:line="276" w:lineRule="auto"/>
      <w:rPr>
        <w:rFonts w:ascii="Gill Sans MT" w:hAnsi="Gill Sans MT"/>
      </w:rPr>
    </w:pPr>
    <w:r>
      <w:rPr>
        <w:rFonts w:ascii="Gill Sans MT" w:hAnsi="Gill Sans MT"/>
      </w:rPr>
      <w:t xml:space="preserve">2 </w:t>
    </w:r>
    <w:r>
      <w:rPr>
        <w:rFonts w:ascii="Gill Sans MT" w:hAnsi="Gill Sans MT"/>
      </w:rPr>
      <w:tab/>
    </w:r>
    <w:r w:rsidR="008C269F" w:rsidRPr="008C269F">
      <w:rPr>
        <w:rFonts w:ascii="Gill Sans MT" w:hAnsi="Gill Sans MT"/>
      </w:rPr>
      <w:t>Change Leadership Capabilities: Self-Assessment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430AE"/>
    <w:rsid w:val="000A1775"/>
    <w:rsid w:val="000A212F"/>
    <w:rsid w:val="000B756F"/>
    <w:rsid w:val="000D275D"/>
    <w:rsid w:val="000D357A"/>
    <w:rsid w:val="000D41A5"/>
    <w:rsid w:val="00125943"/>
    <w:rsid w:val="0015038A"/>
    <w:rsid w:val="001E20B5"/>
    <w:rsid w:val="00214B56"/>
    <w:rsid w:val="002247ED"/>
    <w:rsid w:val="002559EF"/>
    <w:rsid w:val="0027037B"/>
    <w:rsid w:val="00281957"/>
    <w:rsid w:val="002B3937"/>
    <w:rsid w:val="002C3698"/>
    <w:rsid w:val="002C4C57"/>
    <w:rsid w:val="00317549"/>
    <w:rsid w:val="00324B30"/>
    <w:rsid w:val="003339C7"/>
    <w:rsid w:val="00333D63"/>
    <w:rsid w:val="00355C74"/>
    <w:rsid w:val="003B3D4B"/>
    <w:rsid w:val="003C053A"/>
    <w:rsid w:val="00410CD2"/>
    <w:rsid w:val="00430D69"/>
    <w:rsid w:val="0049608C"/>
    <w:rsid w:val="004A46A9"/>
    <w:rsid w:val="00523E8D"/>
    <w:rsid w:val="00527764"/>
    <w:rsid w:val="00536C92"/>
    <w:rsid w:val="00540405"/>
    <w:rsid w:val="00561591"/>
    <w:rsid w:val="00561768"/>
    <w:rsid w:val="005C146D"/>
    <w:rsid w:val="005D13D8"/>
    <w:rsid w:val="005E4C99"/>
    <w:rsid w:val="0062162A"/>
    <w:rsid w:val="006240C5"/>
    <w:rsid w:val="00644B3A"/>
    <w:rsid w:val="00644F07"/>
    <w:rsid w:val="00652402"/>
    <w:rsid w:val="00655156"/>
    <w:rsid w:val="00665B3C"/>
    <w:rsid w:val="00686724"/>
    <w:rsid w:val="006A030A"/>
    <w:rsid w:val="006C60B0"/>
    <w:rsid w:val="006E7AD5"/>
    <w:rsid w:val="00700440"/>
    <w:rsid w:val="00717FAD"/>
    <w:rsid w:val="00742BCF"/>
    <w:rsid w:val="0074481F"/>
    <w:rsid w:val="007722E8"/>
    <w:rsid w:val="007834EE"/>
    <w:rsid w:val="00814CD5"/>
    <w:rsid w:val="00850F60"/>
    <w:rsid w:val="0085135C"/>
    <w:rsid w:val="008A2E4E"/>
    <w:rsid w:val="008B07AE"/>
    <w:rsid w:val="008C269F"/>
    <w:rsid w:val="008E1BC1"/>
    <w:rsid w:val="009510C0"/>
    <w:rsid w:val="009A0367"/>
    <w:rsid w:val="009D1EC3"/>
    <w:rsid w:val="009E78CD"/>
    <w:rsid w:val="00A11A75"/>
    <w:rsid w:val="00A64471"/>
    <w:rsid w:val="00A73C92"/>
    <w:rsid w:val="00A80BB8"/>
    <w:rsid w:val="00A95491"/>
    <w:rsid w:val="00AB5B71"/>
    <w:rsid w:val="00AD1118"/>
    <w:rsid w:val="00AE1088"/>
    <w:rsid w:val="00B051EE"/>
    <w:rsid w:val="00B32754"/>
    <w:rsid w:val="00B65D0E"/>
    <w:rsid w:val="00B81DE5"/>
    <w:rsid w:val="00B8555A"/>
    <w:rsid w:val="00B91678"/>
    <w:rsid w:val="00BC68B3"/>
    <w:rsid w:val="00C05BC3"/>
    <w:rsid w:val="00C26A94"/>
    <w:rsid w:val="00C320EB"/>
    <w:rsid w:val="00C44143"/>
    <w:rsid w:val="00C459C1"/>
    <w:rsid w:val="00C517F5"/>
    <w:rsid w:val="00C70273"/>
    <w:rsid w:val="00C85E54"/>
    <w:rsid w:val="00CC3181"/>
    <w:rsid w:val="00CC7B11"/>
    <w:rsid w:val="00CE7705"/>
    <w:rsid w:val="00CE7BFE"/>
    <w:rsid w:val="00CF1C1C"/>
    <w:rsid w:val="00D149A9"/>
    <w:rsid w:val="00D30A8E"/>
    <w:rsid w:val="00D60D98"/>
    <w:rsid w:val="00E01AF1"/>
    <w:rsid w:val="00E51265"/>
    <w:rsid w:val="00E97FF8"/>
    <w:rsid w:val="00EA0567"/>
    <w:rsid w:val="00EA5CBA"/>
    <w:rsid w:val="00F04131"/>
    <w:rsid w:val="00F5203F"/>
    <w:rsid w:val="00F8066F"/>
    <w:rsid w:val="00F933EE"/>
    <w:rsid w:val="00FB2C57"/>
    <w:rsid w:val="00FB36A2"/>
    <w:rsid w:val="00FD207B"/>
    <w:rsid w:val="00FD27D2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B81DE5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B81DE5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B81DE5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523E8D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B81DE5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B81DE5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B81DE5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523E8D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0491-AAA2-4724-A560-AFE970EC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Change Leadership Capabilities</vt:lpstr>
    </vt:vector>
  </TitlesOfParts>
  <Company>Department of Premier and Cabinet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Change Leadership Capabilities</dc:title>
  <dc:creator>Viv.Burgess</dc:creator>
  <cp:lastModifiedBy>Molhuysen, Jodi</cp:lastModifiedBy>
  <cp:revision>23</cp:revision>
  <cp:lastPrinted>2016-02-18T03:30:00Z</cp:lastPrinted>
  <dcterms:created xsi:type="dcterms:W3CDTF">2016-02-18T03:36:00Z</dcterms:created>
  <dcterms:modified xsi:type="dcterms:W3CDTF">2016-03-24T00:13:00Z</dcterms:modified>
</cp:coreProperties>
</file>