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D0E" w:rsidRPr="00416DBD" w:rsidRDefault="00CD2AFD" w:rsidP="00416DBD">
      <w:pPr>
        <w:pStyle w:val="Heading-cover"/>
      </w:pPr>
      <w:r w:rsidRPr="00416DBD">
        <w:t>Factsheet</w:t>
      </w:r>
    </w:p>
    <w:p w:rsidR="008B07AE" w:rsidRPr="00416DBD" w:rsidRDefault="00156E28" w:rsidP="00416DBD">
      <w:pPr>
        <w:pStyle w:val="Sub-heading-cover"/>
      </w:pPr>
      <w:r w:rsidRPr="00416DBD">
        <w:t xml:space="preserve">Measuring </w:t>
      </w:r>
      <w:r w:rsidR="00416DBD">
        <w:t>a</w:t>
      </w:r>
      <w:r w:rsidR="00416DBD" w:rsidRPr="00416DBD">
        <w:t xml:space="preserve">nd Communicating </w:t>
      </w:r>
      <w:r w:rsidR="00416DBD">
        <w:t>t</w:t>
      </w:r>
      <w:r w:rsidR="00416DBD" w:rsidRPr="00416DBD">
        <w:t xml:space="preserve">he Benefits </w:t>
      </w:r>
      <w:r w:rsidR="00416DBD">
        <w:t>o</w:t>
      </w:r>
      <w:r w:rsidR="00416DBD" w:rsidRPr="00416DBD">
        <w:t>f Change</w:t>
      </w:r>
    </w:p>
    <w:p w:rsidR="00156E28" w:rsidRPr="00D901C4" w:rsidRDefault="00156E28" w:rsidP="000679FF">
      <w:pPr>
        <w:spacing w:before="120" w:after="120" w:line="276" w:lineRule="auto"/>
        <w:ind w:right="-23"/>
        <w:rPr>
          <w:rFonts w:ascii="Gill Sans MT" w:hAnsi="Gill Sans MT"/>
          <w:sz w:val="22"/>
          <w:szCs w:val="22"/>
          <w:lang w:val="en"/>
        </w:rPr>
      </w:pPr>
      <w:r w:rsidRPr="00D901C4">
        <w:rPr>
          <w:rFonts w:ascii="Gill Sans MT" w:hAnsi="Gill Sans MT"/>
          <w:sz w:val="22"/>
          <w:szCs w:val="22"/>
          <w:lang w:val="en"/>
        </w:rPr>
        <w:t>Realising the benefits of a change program requires active and focused management throughout the process. You must identify, measure, track and report on benefits and issues if you are going to succeed.</w:t>
      </w:r>
    </w:p>
    <w:p w:rsidR="00156E28" w:rsidRPr="00D901C4" w:rsidRDefault="00156E28" w:rsidP="000679FF">
      <w:pPr>
        <w:spacing w:before="120" w:after="120" w:line="276" w:lineRule="auto"/>
        <w:ind w:right="-23"/>
        <w:rPr>
          <w:rFonts w:ascii="Gill Sans MT" w:hAnsi="Gill Sans MT"/>
          <w:sz w:val="22"/>
          <w:szCs w:val="22"/>
          <w:lang w:val="en"/>
        </w:rPr>
      </w:pPr>
      <w:r w:rsidRPr="00D901C4">
        <w:rPr>
          <w:rFonts w:ascii="Gill Sans MT" w:hAnsi="Gill Sans MT"/>
          <w:sz w:val="22"/>
          <w:szCs w:val="22"/>
          <w:lang w:val="en"/>
        </w:rPr>
        <w:t>Measurement identifies when things are going well or poorly and allows managers to adjust if there are early warning signs that the change will not deliver as expected. It also provides guidance for organisations so they can prioritise change activities and avoid investing too much or too little.</w:t>
      </w:r>
    </w:p>
    <w:p w:rsidR="00156E28" w:rsidRPr="00D901C4" w:rsidRDefault="00156E28" w:rsidP="000679FF">
      <w:pPr>
        <w:spacing w:before="120" w:after="120" w:line="276" w:lineRule="auto"/>
        <w:ind w:right="-23"/>
        <w:rPr>
          <w:rFonts w:ascii="Gill Sans MT" w:hAnsi="Gill Sans MT"/>
          <w:sz w:val="22"/>
          <w:szCs w:val="22"/>
          <w:lang w:val="en"/>
        </w:rPr>
      </w:pPr>
      <w:r w:rsidRPr="00D901C4">
        <w:rPr>
          <w:rFonts w:ascii="Gill Sans MT" w:hAnsi="Gill Sans MT"/>
          <w:sz w:val="22"/>
          <w:szCs w:val="22"/>
          <w:lang w:val="en"/>
        </w:rPr>
        <w:t>While measurement needs to be rigorous, it should not be overly complex. The simpler the process, the more transparent it is to all stakeholders. Refer to the template for monitoring and measuring success.</w:t>
      </w:r>
    </w:p>
    <w:p w:rsidR="00156E28" w:rsidRPr="00E369D3" w:rsidRDefault="00156E28" w:rsidP="00E369D3">
      <w:pPr>
        <w:pStyle w:val="HeadingOne"/>
      </w:pPr>
      <w:r w:rsidRPr="00E369D3">
        <w:t>How to do it</w:t>
      </w:r>
    </w:p>
    <w:p w:rsidR="00156E28" w:rsidRPr="00E369D3" w:rsidRDefault="00156E28" w:rsidP="00E369D3">
      <w:pPr>
        <w:pStyle w:val="HeadingThree"/>
        <w:spacing w:before="0"/>
      </w:pPr>
      <w:r w:rsidRPr="00E369D3">
        <w:t>1. Establish measures</w:t>
      </w:r>
    </w:p>
    <w:p w:rsidR="00156E28" w:rsidRDefault="00D47AA4" w:rsidP="000679FF">
      <w:pPr>
        <w:spacing w:before="120" w:after="120" w:line="276" w:lineRule="auto"/>
        <w:ind w:right="-23"/>
        <w:rPr>
          <w:rFonts w:ascii="Gill Sans MT" w:hAnsi="Gill Sans MT"/>
          <w:sz w:val="22"/>
          <w:szCs w:val="22"/>
          <w:lang w:val="en"/>
        </w:rPr>
      </w:pPr>
      <w:r w:rsidRPr="00D47AA4">
        <w:rPr>
          <w:rFonts w:ascii="Gill Sans MT" w:hAnsi="Gill Sans MT"/>
          <w:sz w:val="22"/>
          <w:szCs w:val="22"/>
          <w:lang w:val="en"/>
        </w:rPr>
        <w:t>Use your case for change and business case to establish the measures of success – indicators which show the project outcomes will be achieved. Program logic analysis (below) is a widely used project evaluation technique to help think through which measures are important. This is a structured way to identify and analyse the linkages between inputs, resources, activities and various levels of outcomes.</w:t>
      </w:r>
    </w:p>
    <w:p w:rsidR="005C40F8" w:rsidRPr="005C40F8" w:rsidRDefault="005C40F8" w:rsidP="000679FF">
      <w:pPr>
        <w:spacing w:before="120" w:after="120" w:line="276" w:lineRule="auto"/>
        <w:ind w:right="-23"/>
        <w:rPr>
          <w:rFonts w:ascii="Gill Sans MT" w:hAnsi="Gill Sans MT" w:cs="Arial"/>
          <w:b/>
          <w:color w:val="1F497D" w:themeColor="text2"/>
          <w:szCs w:val="20"/>
        </w:rPr>
      </w:pPr>
      <w:r w:rsidRPr="005C40F8">
        <w:rPr>
          <w:rFonts w:ascii="Gill Sans MT" w:hAnsi="Gill Sans MT" w:cs="Arial"/>
          <w:b/>
          <w:color w:val="1F497D" w:themeColor="text2"/>
          <w:szCs w:val="20"/>
        </w:rPr>
        <w:t xml:space="preserve">Figure 1: </w:t>
      </w:r>
      <w:r>
        <w:rPr>
          <w:rFonts w:ascii="Gill Sans MT" w:hAnsi="Gill Sans MT" w:cs="Arial"/>
          <w:b/>
          <w:color w:val="1F497D" w:themeColor="text2"/>
          <w:szCs w:val="20"/>
        </w:rPr>
        <w:t>L</w:t>
      </w:r>
      <w:r w:rsidRPr="005C40F8">
        <w:rPr>
          <w:rFonts w:ascii="Gill Sans MT" w:hAnsi="Gill Sans MT" w:cs="Arial"/>
          <w:b/>
          <w:color w:val="1F497D" w:themeColor="text2"/>
          <w:szCs w:val="20"/>
        </w:rPr>
        <w:t>inkages between inputs, resources, activities and various levels of outcomes</w:t>
      </w:r>
    </w:p>
    <w:p w:rsidR="009C4EAD" w:rsidRPr="005C40F8" w:rsidRDefault="009C4EAD" w:rsidP="000679FF">
      <w:pPr>
        <w:spacing w:before="120" w:after="120" w:line="276" w:lineRule="auto"/>
        <w:ind w:right="-23"/>
        <w:jc w:val="center"/>
        <w:rPr>
          <w:rFonts w:ascii="Gill Sans MT" w:hAnsi="Gill Sans MT"/>
          <w:sz w:val="22"/>
          <w:szCs w:val="22"/>
          <w:lang w:val="en"/>
        </w:rPr>
      </w:pPr>
      <w:r>
        <w:rPr>
          <w:rFonts w:ascii="Arial Narrow" w:hAnsi="Arial Narrow"/>
          <w:noProof/>
          <w:lang w:eastAsia="en-AU"/>
        </w:rPr>
        <w:drawing>
          <wp:inline distT="0" distB="0" distL="0" distR="0" wp14:anchorId="4C6D2A27" wp14:editId="12F6EF37">
            <wp:extent cx="6484608" cy="1531088"/>
            <wp:effectExtent l="0" t="0" r="0" b="0"/>
            <wp:docPr id="7" name="Picture 7" descr="1. Inputs: What we invest? (A Inputs/resources). 2. Outputs: What we do? (B Activities); and What are the products? (C Outputs). 3. Outcomes: What are the short to medium term results? (D Short to mid term outcomes); What are the long term results? (E Long term outcomes); and What are the ultimate impacts? (Ultimate stakeholder and customer imp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 Measuring benefits.JPG"/>
                    <pic:cNvPicPr/>
                  </pic:nvPicPr>
                  <pic:blipFill rotWithShape="1">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l="1844" t="4673" r="1626" b="4028"/>
                    <a:stretch/>
                  </pic:blipFill>
                  <pic:spPr bwMode="auto">
                    <a:xfrm>
                      <a:off x="0" y="0"/>
                      <a:ext cx="6484608" cy="1531088"/>
                    </a:xfrm>
                    <a:prstGeom prst="rect">
                      <a:avLst/>
                    </a:prstGeom>
                    <a:ln>
                      <a:noFill/>
                    </a:ln>
                    <a:extLst>
                      <a:ext uri="{53640926-AAD7-44D8-BBD7-CCE9431645EC}">
                        <a14:shadowObscured xmlns:a14="http://schemas.microsoft.com/office/drawing/2010/main"/>
                      </a:ext>
                    </a:extLst>
                  </pic:spPr>
                </pic:pic>
              </a:graphicData>
            </a:graphic>
          </wp:inline>
        </w:drawing>
      </w:r>
    </w:p>
    <w:p w:rsidR="00D901C4" w:rsidRPr="00D901C4" w:rsidRDefault="00D901C4" w:rsidP="000679FF">
      <w:pPr>
        <w:spacing w:before="120" w:after="120" w:line="276" w:lineRule="auto"/>
        <w:ind w:right="-23"/>
        <w:rPr>
          <w:rFonts w:ascii="Gill Sans MT" w:hAnsi="Gill Sans MT"/>
          <w:sz w:val="22"/>
          <w:szCs w:val="22"/>
          <w:lang w:val="en"/>
        </w:rPr>
      </w:pPr>
      <w:r w:rsidRPr="00D901C4">
        <w:rPr>
          <w:rFonts w:ascii="Gill Sans MT" w:hAnsi="Gill Sans MT"/>
          <w:sz w:val="22"/>
          <w:szCs w:val="22"/>
          <w:lang w:val="en"/>
        </w:rPr>
        <w:t>To set benefit measures, move from right to left, ie beginning with the ultimate impacts and moving along to inputs/ resources, and ask yourself these questions:</w:t>
      </w:r>
    </w:p>
    <w:p w:rsidR="00D901C4" w:rsidRPr="00D901C4" w:rsidRDefault="00D901C4" w:rsidP="000679FF">
      <w:pPr>
        <w:pStyle w:val="ListParagraph"/>
        <w:numPr>
          <w:ilvl w:val="0"/>
          <w:numId w:val="19"/>
        </w:numPr>
        <w:spacing w:before="120" w:after="120" w:line="276" w:lineRule="auto"/>
        <w:ind w:right="-23"/>
        <w:contextualSpacing w:val="0"/>
        <w:rPr>
          <w:rFonts w:ascii="Gill Sans MT" w:hAnsi="Gill Sans MT"/>
          <w:sz w:val="22"/>
          <w:szCs w:val="22"/>
          <w:lang w:val="en"/>
        </w:rPr>
      </w:pPr>
      <w:r w:rsidRPr="00D901C4">
        <w:rPr>
          <w:rFonts w:ascii="Gill Sans MT" w:hAnsi="Gill Sans MT"/>
          <w:sz w:val="22"/>
          <w:szCs w:val="22"/>
          <w:lang w:val="en"/>
        </w:rPr>
        <w:t>How will you know the outcomes have been achieved?</w:t>
      </w:r>
    </w:p>
    <w:p w:rsidR="00D901C4" w:rsidRPr="00D901C4" w:rsidRDefault="00D901C4" w:rsidP="000679FF">
      <w:pPr>
        <w:pStyle w:val="ListParagraph"/>
        <w:numPr>
          <w:ilvl w:val="0"/>
          <w:numId w:val="19"/>
        </w:numPr>
        <w:spacing w:before="120" w:after="120" w:line="276" w:lineRule="auto"/>
        <w:ind w:right="-23"/>
        <w:contextualSpacing w:val="0"/>
        <w:rPr>
          <w:rFonts w:ascii="Gill Sans MT" w:hAnsi="Gill Sans MT"/>
          <w:sz w:val="22"/>
          <w:szCs w:val="22"/>
          <w:lang w:val="en"/>
        </w:rPr>
      </w:pPr>
      <w:r w:rsidRPr="00D901C4">
        <w:rPr>
          <w:rFonts w:ascii="Gill Sans MT" w:hAnsi="Gill Sans MT"/>
          <w:sz w:val="22"/>
          <w:szCs w:val="22"/>
          <w:lang w:val="en"/>
        </w:rPr>
        <w:t>How will you know the results are achieved?</w:t>
      </w:r>
    </w:p>
    <w:p w:rsidR="00D901C4" w:rsidRPr="00D901C4" w:rsidRDefault="00D901C4" w:rsidP="000679FF">
      <w:pPr>
        <w:pStyle w:val="ListParagraph"/>
        <w:numPr>
          <w:ilvl w:val="0"/>
          <w:numId w:val="19"/>
        </w:numPr>
        <w:spacing w:before="120" w:after="120" w:line="276" w:lineRule="auto"/>
        <w:ind w:right="-23"/>
        <w:contextualSpacing w:val="0"/>
        <w:rPr>
          <w:rFonts w:ascii="Gill Sans MT" w:hAnsi="Gill Sans MT"/>
          <w:sz w:val="22"/>
          <w:szCs w:val="22"/>
          <w:lang w:val="en"/>
        </w:rPr>
      </w:pPr>
      <w:r w:rsidRPr="00D901C4">
        <w:rPr>
          <w:rFonts w:ascii="Gill Sans MT" w:hAnsi="Gill Sans MT"/>
          <w:sz w:val="22"/>
          <w:szCs w:val="22"/>
          <w:lang w:val="en"/>
        </w:rPr>
        <w:t>How will you know you are getting there?</w:t>
      </w:r>
    </w:p>
    <w:p w:rsidR="00D901C4" w:rsidRPr="00D901C4" w:rsidRDefault="00D901C4" w:rsidP="000679FF">
      <w:pPr>
        <w:pStyle w:val="ListParagraph"/>
        <w:numPr>
          <w:ilvl w:val="0"/>
          <w:numId w:val="19"/>
        </w:numPr>
        <w:spacing w:before="120" w:after="120" w:line="276" w:lineRule="auto"/>
        <w:ind w:right="-23"/>
        <w:contextualSpacing w:val="0"/>
        <w:rPr>
          <w:rFonts w:ascii="Gill Sans MT" w:hAnsi="Gill Sans MT"/>
          <w:sz w:val="22"/>
          <w:szCs w:val="22"/>
          <w:lang w:val="en"/>
        </w:rPr>
      </w:pPr>
      <w:r w:rsidRPr="00D901C4">
        <w:rPr>
          <w:rFonts w:ascii="Gill Sans MT" w:hAnsi="Gill Sans MT"/>
          <w:sz w:val="22"/>
          <w:szCs w:val="22"/>
          <w:lang w:val="en"/>
        </w:rPr>
        <w:t>What outputs need to be delivered?</w:t>
      </w:r>
    </w:p>
    <w:p w:rsidR="00D901C4" w:rsidRPr="00D901C4" w:rsidRDefault="00D901C4" w:rsidP="000679FF">
      <w:pPr>
        <w:pStyle w:val="ListParagraph"/>
        <w:numPr>
          <w:ilvl w:val="0"/>
          <w:numId w:val="19"/>
        </w:numPr>
        <w:spacing w:before="120" w:after="120" w:line="276" w:lineRule="auto"/>
        <w:ind w:right="-23"/>
        <w:contextualSpacing w:val="0"/>
        <w:rPr>
          <w:rFonts w:ascii="Gill Sans MT" w:hAnsi="Gill Sans MT"/>
          <w:sz w:val="22"/>
          <w:szCs w:val="22"/>
          <w:lang w:val="en"/>
        </w:rPr>
      </w:pPr>
      <w:r w:rsidRPr="00D901C4">
        <w:rPr>
          <w:rFonts w:ascii="Gill Sans MT" w:hAnsi="Gill Sans MT"/>
          <w:sz w:val="22"/>
          <w:szCs w:val="22"/>
          <w:lang w:val="en"/>
        </w:rPr>
        <w:t>What activities and inputs do we need to monitor to get there?</w:t>
      </w:r>
    </w:p>
    <w:p w:rsidR="00D901C4" w:rsidRPr="00D901C4" w:rsidRDefault="00D901C4" w:rsidP="000679FF">
      <w:pPr>
        <w:spacing w:before="120" w:after="120" w:line="276" w:lineRule="auto"/>
        <w:ind w:right="-23"/>
        <w:rPr>
          <w:rFonts w:ascii="Gill Sans MT" w:hAnsi="Gill Sans MT"/>
          <w:sz w:val="22"/>
          <w:szCs w:val="22"/>
          <w:lang w:val="en"/>
        </w:rPr>
      </w:pPr>
      <w:r w:rsidRPr="00D901C4">
        <w:rPr>
          <w:rFonts w:ascii="Gill Sans MT" w:hAnsi="Gill Sans MT"/>
          <w:sz w:val="22"/>
          <w:szCs w:val="22"/>
          <w:lang w:val="en"/>
        </w:rPr>
        <w:t>Resulting measures will include:</w:t>
      </w:r>
    </w:p>
    <w:p w:rsidR="00D901C4" w:rsidRPr="003C24E3" w:rsidRDefault="00D901C4" w:rsidP="000679FF">
      <w:pPr>
        <w:pStyle w:val="ListParagraph"/>
        <w:numPr>
          <w:ilvl w:val="0"/>
          <w:numId w:val="19"/>
        </w:numPr>
        <w:spacing w:before="120" w:after="120" w:line="276" w:lineRule="auto"/>
        <w:ind w:right="-23"/>
        <w:contextualSpacing w:val="0"/>
        <w:rPr>
          <w:rFonts w:ascii="Gill Sans MT" w:hAnsi="Gill Sans MT"/>
          <w:sz w:val="22"/>
          <w:szCs w:val="22"/>
          <w:lang w:val="en"/>
        </w:rPr>
      </w:pPr>
      <w:r w:rsidRPr="000679FF">
        <w:rPr>
          <w:rFonts w:ascii="Gill Sans MT" w:hAnsi="Gill Sans MT"/>
          <w:b/>
          <w:sz w:val="22"/>
          <w:szCs w:val="22"/>
          <w:lang w:val="en"/>
        </w:rPr>
        <w:t>Output measures</w:t>
      </w:r>
      <w:r w:rsidRPr="003C24E3">
        <w:rPr>
          <w:rFonts w:ascii="Gill Sans MT" w:hAnsi="Gill Sans MT"/>
          <w:sz w:val="22"/>
          <w:szCs w:val="22"/>
          <w:lang w:val="en"/>
        </w:rPr>
        <w:t>: a range of project delivery performance measures (milestones) at the project level, including those relating to standards, timing issues, location (where relevant), benefit realisation and costing.</w:t>
      </w:r>
    </w:p>
    <w:p w:rsidR="005C40F8" w:rsidRDefault="00D901C4" w:rsidP="000679FF">
      <w:pPr>
        <w:pStyle w:val="ListParagraph"/>
        <w:numPr>
          <w:ilvl w:val="0"/>
          <w:numId w:val="19"/>
        </w:numPr>
        <w:spacing w:before="120" w:after="120" w:line="276" w:lineRule="auto"/>
        <w:ind w:right="-23"/>
        <w:contextualSpacing w:val="0"/>
        <w:rPr>
          <w:rFonts w:ascii="Gill Sans MT" w:hAnsi="Gill Sans MT"/>
          <w:sz w:val="22"/>
          <w:szCs w:val="22"/>
          <w:lang w:val="en"/>
        </w:rPr>
      </w:pPr>
      <w:r w:rsidRPr="000679FF">
        <w:rPr>
          <w:rFonts w:ascii="Gill Sans MT" w:hAnsi="Gill Sans MT"/>
          <w:b/>
          <w:sz w:val="22"/>
          <w:szCs w:val="22"/>
          <w:lang w:val="en"/>
        </w:rPr>
        <w:t>Outcome measures</w:t>
      </w:r>
      <w:r w:rsidRPr="000679FF">
        <w:rPr>
          <w:rFonts w:ascii="Gill Sans MT" w:hAnsi="Gill Sans MT"/>
          <w:sz w:val="22"/>
          <w:szCs w:val="22"/>
          <w:lang w:val="en"/>
        </w:rPr>
        <w:t xml:space="preserve">: </w:t>
      </w:r>
      <w:r w:rsidRPr="003C24E3">
        <w:rPr>
          <w:rFonts w:ascii="Gill Sans MT" w:hAnsi="Gill Sans MT"/>
          <w:sz w:val="22"/>
          <w:szCs w:val="22"/>
          <w:lang w:val="en"/>
        </w:rPr>
        <w:t>a set of agreed key performance indicators that includes lead indicators (short-medium term outcomes) and lag indicators (final outcomes).</w:t>
      </w:r>
    </w:p>
    <w:p w:rsidR="00784839" w:rsidRDefault="00784839" w:rsidP="000679FF">
      <w:pPr>
        <w:spacing w:before="120" w:after="120" w:line="276" w:lineRule="auto"/>
        <w:ind w:right="-24"/>
        <w:rPr>
          <w:rFonts w:ascii="Gill Sans MT" w:hAnsi="Gill Sans MT" w:cs="Arial"/>
          <w:b/>
          <w:color w:val="1F497D" w:themeColor="text2"/>
          <w:szCs w:val="20"/>
        </w:rPr>
        <w:sectPr w:rsidR="00784839" w:rsidSect="00C723D5">
          <w:footerReference w:type="default" r:id="rId11"/>
          <w:footerReference w:type="first" r:id="rId12"/>
          <w:type w:val="continuous"/>
          <w:pgSz w:w="11906" w:h="16838"/>
          <w:pgMar w:top="851" w:right="720" w:bottom="1418" w:left="1134" w:header="709" w:footer="539" w:gutter="0"/>
          <w:cols w:space="709"/>
          <w:docGrid w:linePitch="360"/>
        </w:sectPr>
      </w:pPr>
    </w:p>
    <w:p w:rsidR="00D94F71" w:rsidRPr="00D94F71" w:rsidRDefault="00D94F71" w:rsidP="000679FF">
      <w:pPr>
        <w:spacing w:before="120" w:after="120" w:line="276" w:lineRule="auto"/>
        <w:ind w:right="-23"/>
        <w:rPr>
          <w:rFonts w:ascii="Gill Sans MT" w:hAnsi="Gill Sans MT"/>
          <w:sz w:val="22"/>
          <w:szCs w:val="22"/>
          <w:lang w:val="en"/>
        </w:rPr>
      </w:pPr>
      <w:r w:rsidRPr="00D94F71">
        <w:rPr>
          <w:rFonts w:ascii="Gill Sans MT" w:hAnsi="Gill Sans MT"/>
          <w:sz w:val="22"/>
          <w:szCs w:val="22"/>
          <w:lang w:val="en"/>
        </w:rPr>
        <w:lastRenderedPageBreak/>
        <w:t>Also consider control measures which are often identified as you develop your risk register. Examples include:</w:t>
      </w:r>
    </w:p>
    <w:p w:rsidR="00D94F71" w:rsidRPr="00D94F71" w:rsidRDefault="00750C81" w:rsidP="000679FF">
      <w:pPr>
        <w:pStyle w:val="ListParagraph"/>
        <w:numPr>
          <w:ilvl w:val="0"/>
          <w:numId w:val="20"/>
        </w:numPr>
        <w:spacing w:before="120" w:after="120" w:line="276" w:lineRule="auto"/>
        <w:ind w:right="-23"/>
        <w:contextualSpacing w:val="0"/>
        <w:rPr>
          <w:rFonts w:ascii="Gill Sans MT" w:hAnsi="Gill Sans MT"/>
          <w:sz w:val="22"/>
          <w:szCs w:val="22"/>
          <w:lang w:val="en"/>
        </w:rPr>
      </w:pPr>
      <w:r w:rsidRPr="00D94F71">
        <w:rPr>
          <w:rFonts w:ascii="Gill Sans MT" w:hAnsi="Gill Sans MT"/>
          <w:sz w:val="22"/>
          <w:szCs w:val="22"/>
          <w:lang w:val="en"/>
        </w:rPr>
        <w:t>Community satisfaction is negatively impacted by the change</w:t>
      </w:r>
      <w:r>
        <w:rPr>
          <w:rFonts w:ascii="Gill Sans MT" w:hAnsi="Gill Sans MT"/>
          <w:sz w:val="22"/>
          <w:szCs w:val="22"/>
          <w:lang w:val="en"/>
        </w:rPr>
        <w:t>.</w:t>
      </w:r>
      <w:r w:rsidRPr="00D94F71">
        <w:rPr>
          <w:rFonts w:ascii="Gill Sans MT" w:hAnsi="Gill Sans MT"/>
          <w:sz w:val="22"/>
          <w:szCs w:val="22"/>
          <w:lang w:val="en"/>
        </w:rPr>
        <w:t xml:space="preserve"> </w:t>
      </w:r>
    </w:p>
    <w:p w:rsidR="00D94F71" w:rsidRPr="00D94F71" w:rsidRDefault="00750C81" w:rsidP="000679FF">
      <w:pPr>
        <w:pStyle w:val="ListParagraph"/>
        <w:numPr>
          <w:ilvl w:val="0"/>
          <w:numId w:val="20"/>
        </w:numPr>
        <w:spacing w:before="120" w:after="120" w:line="276" w:lineRule="auto"/>
        <w:ind w:right="-23"/>
        <w:contextualSpacing w:val="0"/>
        <w:rPr>
          <w:rFonts w:ascii="Gill Sans MT" w:hAnsi="Gill Sans MT"/>
          <w:sz w:val="22"/>
          <w:szCs w:val="22"/>
          <w:lang w:val="en"/>
        </w:rPr>
      </w:pPr>
      <w:r w:rsidRPr="00D94F71">
        <w:rPr>
          <w:rFonts w:ascii="Gill Sans MT" w:hAnsi="Gill Sans MT"/>
          <w:sz w:val="22"/>
          <w:szCs w:val="22"/>
          <w:lang w:val="en"/>
        </w:rPr>
        <w:t>A dip in employee engagement</w:t>
      </w:r>
      <w:r>
        <w:rPr>
          <w:rFonts w:ascii="Gill Sans MT" w:hAnsi="Gill Sans MT"/>
          <w:sz w:val="22"/>
          <w:szCs w:val="22"/>
          <w:lang w:val="en"/>
        </w:rPr>
        <w:t>.</w:t>
      </w:r>
    </w:p>
    <w:p w:rsidR="00D94F71" w:rsidRPr="00D94F71" w:rsidRDefault="00750C81" w:rsidP="000679FF">
      <w:pPr>
        <w:pStyle w:val="ListParagraph"/>
        <w:numPr>
          <w:ilvl w:val="0"/>
          <w:numId w:val="20"/>
        </w:numPr>
        <w:spacing w:before="120" w:after="120" w:line="276" w:lineRule="auto"/>
        <w:ind w:right="-23"/>
        <w:contextualSpacing w:val="0"/>
        <w:rPr>
          <w:rFonts w:ascii="Gill Sans MT" w:hAnsi="Gill Sans MT"/>
          <w:sz w:val="22"/>
          <w:szCs w:val="22"/>
          <w:lang w:val="en"/>
        </w:rPr>
      </w:pPr>
      <w:r w:rsidRPr="00D94F71">
        <w:rPr>
          <w:rFonts w:ascii="Gill Sans MT" w:hAnsi="Gill Sans MT"/>
          <w:sz w:val="22"/>
          <w:szCs w:val="22"/>
          <w:lang w:val="en"/>
        </w:rPr>
        <w:t>Poor quality of service</w:t>
      </w:r>
      <w:r>
        <w:rPr>
          <w:rFonts w:ascii="Gill Sans MT" w:hAnsi="Gill Sans MT"/>
          <w:sz w:val="22"/>
          <w:szCs w:val="22"/>
          <w:lang w:val="en"/>
        </w:rPr>
        <w:t>.</w:t>
      </w:r>
    </w:p>
    <w:p w:rsidR="00D94F71" w:rsidRPr="00D94F71" w:rsidRDefault="00750C81" w:rsidP="000679FF">
      <w:pPr>
        <w:pStyle w:val="ListParagraph"/>
        <w:numPr>
          <w:ilvl w:val="0"/>
          <w:numId w:val="20"/>
        </w:numPr>
        <w:spacing w:before="120" w:after="120" w:line="276" w:lineRule="auto"/>
        <w:ind w:right="-23"/>
        <w:contextualSpacing w:val="0"/>
        <w:rPr>
          <w:rFonts w:ascii="Gill Sans MT" w:hAnsi="Gill Sans MT"/>
          <w:sz w:val="22"/>
          <w:szCs w:val="22"/>
          <w:lang w:val="en"/>
        </w:rPr>
      </w:pPr>
      <w:r w:rsidRPr="00D94F71">
        <w:rPr>
          <w:rFonts w:ascii="Gill Sans MT" w:hAnsi="Gill Sans MT"/>
          <w:sz w:val="22"/>
          <w:szCs w:val="22"/>
          <w:lang w:val="en"/>
        </w:rPr>
        <w:t>Safety is compromised.</w:t>
      </w:r>
    </w:p>
    <w:p w:rsidR="00D94F71" w:rsidRPr="00D94F71" w:rsidRDefault="00D94F71" w:rsidP="000679FF">
      <w:pPr>
        <w:spacing w:before="120" w:after="120" w:line="276" w:lineRule="auto"/>
        <w:ind w:right="-23"/>
        <w:rPr>
          <w:rFonts w:ascii="Gill Sans MT" w:hAnsi="Gill Sans MT"/>
          <w:sz w:val="22"/>
          <w:szCs w:val="22"/>
          <w:lang w:val="en"/>
        </w:rPr>
      </w:pPr>
      <w:r w:rsidRPr="00D94F71">
        <w:rPr>
          <w:rFonts w:ascii="Gill Sans MT" w:hAnsi="Gill Sans MT"/>
          <w:sz w:val="22"/>
          <w:szCs w:val="22"/>
          <w:lang w:val="en"/>
        </w:rPr>
        <w:t>Once you have created your initial list of measures, check that they are:</w:t>
      </w:r>
    </w:p>
    <w:p w:rsidR="00D94F71" w:rsidRPr="00D94F71" w:rsidRDefault="00750C81" w:rsidP="000679FF">
      <w:pPr>
        <w:pStyle w:val="ListParagraph"/>
        <w:numPr>
          <w:ilvl w:val="0"/>
          <w:numId w:val="21"/>
        </w:numPr>
        <w:spacing w:before="120" w:after="120" w:line="276" w:lineRule="auto"/>
        <w:ind w:right="-23"/>
        <w:contextualSpacing w:val="0"/>
        <w:rPr>
          <w:rFonts w:ascii="Gill Sans MT" w:hAnsi="Gill Sans MT"/>
          <w:sz w:val="22"/>
          <w:szCs w:val="22"/>
          <w:lang w:val="en"/>
        </w:rPr>
      </w:pPr>
      <w:r w:rsidRPr="00D94F71">
        <w:rPr>
          <w:rFonts w:ascii="Gill Sans MT" w:hAnsi="Gill Sans MT"/>
          <w:sz w:val="22"/>
          <w:szCs w:val="22"/>
          <w:lang w:val="en"/>
        </w:rPr>
        <w:t xml:space="preserve">Clearly </w:t>
      </w:r>
      <w:r w:rsidR="00D94F71" w:rsidRPr="00D94F71">
        <w:rPr>
          <w:rFonts w:ascii="Gill Sans MT" w:hAnsi="Gill Sans MT"/>
          <w:sz w:val="22"/>
          <w:szCs w:val="22"/>
          <w:lang w:val="en"/>
        </w:rPr>
        <w:t>linked to the outcomes or risks (refer diagram – A leads to B leads to C etc)</w:t>
      </w:r>
      <w:r>
        <w:rPr>
          <w:rFonts w:ascii="Gill Sans MT" w:hAnsi="Gill Sans MT"/>
          <w:sz w:val="22"/>
          <w:szCs w:val="22"/>
          <w:lang w:val="en"/>
        </w:rPr>
        <w:t>.</w:t>
      </w:r>
    </w:p>
    <w:p w:rsidR="00D94F71" w:rsidRPr="00D94F71" w:rsidRDefault="00D94F71" w:rsidP="000679FF">
      <w:pPr>
        <w:pStyle w:val="ListParagraph"/>
        <w:numPr>
          <w:ilvl w:val="0"/>
          <w:numId w:val="21"/>
        </w:numPr>
        <w:spacing w:before="120" w:after="120" w:line="276" w:lineRule="auto"/>
        <w:ind w:right="-23"/>
        <w:contextualSpacing w:val="0"/>
        <w:rPr>
          <w:rFonts w:ascii="Gill Sans MT" w:hAnsi="Gill Sans MT"/>
          <w:sz w:val="22"/>
          <w:szCs w:val="22"/>
          <w:lang w:val="en"/>
        </w:rPr>
      </w:pPr>
      <w:r w:rsidRPr="00D94F71">
        <w:rPr>
          <w:rFonts w:ascii="Gill Sans MT" w:hAnsi="Gill Sans MT"/>
          <w:sz w:val="22"/>
          <w:szCs w:val="22"/>
          <w:lang w:val="en"/>
        </w:rPr>
        <w:t>SMART: specific, measurable, actionable, realistic, time bound</w:t>
      </w:r>
      <w:r w:rsidR="00750C81">
        <w:rPr>
          <w:rFonts w:ascii="Gill Sans MT" w:hAnsi="Gill Sans MT"/>
          <w:sz w:val="22"/>
          <w:szCs w:val="22"/>
          <w:lang w:val="en"/>
        </w:rPr>
        <w:t>.</w:t>
      </w:r>
    </w:p>
    <w:p w:rsidR="00D94F71" w:rsidRPr="00D94F71" w:rsidRDefault="00750C81" w:rsidP="000679FF">
      <w:pPr>
        <w:pStyle w:val="ListParagraph"/>
        <w:numPr>
          <w:ilvl w:val="0"/>
          <w:numId w:val="21"/>
        </w:numPr>
        <w:spacing w:before="120" w:after="120" w:line="276" w:lineRule="auto"/>
        <w:ind w:right="-23"/>
        <w:contextualSpacing w:val="0"/>
        <w:rPr>
          <w:rFonts w:ascii="Gill Sans MT" w:hAnsi="Gill Sans MT"/>
          <w:sz w:val="22"/>
          <w:szCs w:val="22"/>
          <w:lang w:val="en"/>
        </w:rPr>
      </w:pPr>
      <w:r w:rsidRPr="00D94F71">
        <w:rPr>
          <w:rFonts w:ascii="Gill Sans MT" w:hAnsi="Gill Sans MT"/>
          <w:sz w:val="22"/>
          <w:szCs w:val="22"/>
          <w:lang w:val="en"/>
        </w:rPr>
        <w:t xml:space="preserve">A </w:t>
      </w:r>
      <w:r w:rsidR="00D94F71" w:rsidRPr="00D94F71">
        <w:rPr>
          <w:rFonts w:ascii="Gill Sans MT" w:hAnsi="Gill Sans MT"/>
          <w:sz w:val="22"/>
          <w:szCs w:val="22"/>
          <w:lang w:val="en"/>
        </w:rPr>
        <w:t>clear break from the current state</w:t>
      </w:r>
      <w:r>
        <w:rPr>
          <w:rFonts w:ascii="Gill Sans MT" w:hAnsi="Gill Sans MT"/>
          <w:sz w:val="22"/>
          <w:szCs w:val="22"/>
          <w:lang w:val="en"/>
        </w:rPr>
        <w:t>.</w:t>
      </w:r>
    </w:p>
    <w:p w:rsidR="00D94F71" w:rsidRPr="00D94F71" w:rsidRDefault="00750C81" w:rsidP="000679FF">
      <w:pPr>
        <w:pStyle w:val="ListParagraph"/>
        <w:numPr>
          <w:ilvl w:val="0"/>
          <w:numId w:val="21"/>
        </w:numPr>
        <w:spacing w:before="120" w:after="120" w:line="276" w:lineRule="auto"/>
        <w:ind w:right="-23"/>
        <w:contextualSpacing w:val="0"/>
        <w:rPr>
          <w:rFonts w:ascii="Gill Sans MT" w:hAnsi="Gill Sans MT"/>
          <w:sz w:val="22"/>
          <w:szCs w:val="22"/>
          <w:lang w:val="en"/>
        </w:rPr>
      </w:pPr>
      <w:r w:rsidRPr="00D94F71">
        <w:rPr>
          <w:rFonts w:ascii="Gill Sans MT" w:hAnsi="Gill Sans MT"/>
          <w:sz w:val="22"/>
          <w:szCs w:val="22"/>
          <w:lang w:val="en"/>
        </w:rPr>
        <w:t>Few</w:t>
      </w:r>
      <w:r w:rsidR="00D94F71" w:rsidRPr="00D94F71">
        <w:rPr>
          <w:rFonts w:ascii="Gill Sans MT" w:hAnsi="Gill Sans MT"/>
          <w:sz w:val="22"/>
          <w:szCs w:val="22"/>
          <w:lang w:val="en"/>
        </w:rPr>
        <w:t xml:space="preserve"> in number (focus on the most important measures).</w:t>
      </w:r>
    </w:p>
    <w:p w:rsidR="00D94F71" w:rsidRPr="00750C81" w:rsidRDefault="00D94F71" w:rsidP="00E369D3">
      <w:pPr>
        <w:pStyle w:val="HeadingThree"/>
        <w:rPr>
          <w:color w:val="FFFFFF" w:themeColor="background1"/>
        </w:rPr>
      </w:pPr>
      <w:r w:rsidRPr="00E369D3">
        <w:t>2.</w:t>
      </w:r>
      <w:r w:rsidR="003C24E3" w:rsidRPr="00E369D3">
        <w:t xml:space="preserve"> </w:t>
      </w:r>
      <w:r w:rsidRPr="00E369D3">
        <w:t>Plan measurement activities</w:t>
      </w:r>
    </w:p>
    <w:p w:rsidR="00D94F71" w:rsidRPr="00D94F71" w:rsidRDefault="00D94F71" w:rsidP="000679FF">
      <w:pPr>
        <w:spacing w:before="120" w:after="120" w:line="276" w:lineRule="auto"/>
        <w:ind w:right="-23"/>
        <w:rPr>
          <w:rFonts w:ascii="Gill Sans MT" w:hAnsi="Gill Sans MT"/>
          <w:sz w:val="22"/>
          <w:szCs w:val="22"/>
          <w:lang w:val="en"/>
        </w:rPr>
      </w:pPr>
      <w:r w:rsidRPr="00D94F71">
        <w:rPr>
          <w:rFonts w:ascii="Gill Sans MT" w:hAnsi="Gill Sans MT"/>
          <w:sz w:val="22"/>
          <w:szCs w:val="22"/>
          <w:lang w:val="en"/>
        </w:rPr>
        <w:t>Measurement requires planning. You will need to understand up front how you will collect and report against each measure, including developing your methodology and reporting templates; what you will measure and how will you build measurement into the project plan.</w:t>
      </w:r>
    </w:p>
    <w:p w:rsidR="00D94F71" w:rsidRPr="00E369D3" w:rsidRDefault="00D94F71" w:rsidP="00E369D3">
      <w:pPr>
        <w:pStyle w:val="HeadingThree"/>
      </w:pPr>
      <w:r w:rsidRPr="00E369D3">
        <w:t>3.</w:t>
      </w:r>
      <w:r w:rsidR="003C24E3" w:rsidRPr="00E369D3">
        <w:t xml:space="preserve"> </w:t>
      </w:r>
      <w:r w:rsidRPr="00E369D3">
        <w:t>Monitor and measure success, then report on the benefits</w:t>
      </w:r>
    </w:p>
    <w:p w:rsidR="00D94F71" w:rsidRDefault="00D94F71" w:rsidP="000679FF">
      <w:pPr>
        <w:spacing w:before="120" w:after="120" w:line="276" w:lineRule="auto"/>
        <w:ind w:right="-23"/>
        <w:rPr>
          <w:rFonts w:ascii="Gill Sans MT" w:hAnsi="Gill Sans MT"/>
          <w:sz w:val="22"/>
          <w:szCs w:val="22"/>
          <w:lang w:val="en"/>
        </w:rPr>
      </w:pPr>
      <w:r w:rsidRPr="00D94F71">
        <w:rPr>
          <w:rFonts w:ascii="Gill Sans MT" w:hAnsi="Gill Sans MT"/>
          <w:sz w:val="22"/>
          <w:szCs w:val="22"/>
          <w:lang w:val="en"/>
        </w:rPr>
        <w:t>As you measure results make sure you respond accordingly. Remain alert to the possibility of gaining new or greater benefits and take action if measures are unlikely to reach their target. The change manager in particular should continuously look for quick wins to maintain momentum and morale. Reinforcing benefits through communications and change management activities also helps maintain momentum. Report benefits to your project sponsor and anyone else identified in your project governance framework.</w:t>
      </w:r>
    </w:p>
    <w:p w:rsidR="009C4EAD" w:rsidRPr="00E03E40" w:rsidRDefault="009C4EAD" w:rsidP="000679FF">
      <w:pPr>
        <w:spacing w:before="120" w:after="120" w:line="276" w:lineRule="auto"/>
        <w:ind w:right="-23"/>
        <w:rPr>
          <w:rFonts w:ascii="Gill Sans MT" w:hAnsi="Gill Sans MT" w:cs="Arial"/>
          <w:b/>
          <w:color w:val="1F497D" w:themeColor="text2"/>
          <w:szCs w:val="20"/>
        </w:rPr>
      </w:pPr>
      <w:r>
        <w:rPr>
          <w:rFonts w:ascii="Gill Sans MT" w:hAnsi="Gill Sans MT" w:cs="Arial"/>
          <w:b/>
          <w:color w:val="1F497D" w:themeColor="text2"/>
          <w:szCs w:val="20"/>
        </w:rPr>
        <w:t>Adjust for scale</w:t>
      </w:r>
    </w:p>
    <w:tbl>
      <w:tblPr>
        <w:tblStyle w:val="LightList-Accent1"/>
        <w:tblW w:w="9923" w:type="dxa"/>
        <w:tblInd w:w="108"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20" w:firstRow="1" w:lastRow="0" w:firstColumn="0" w:lastColumn="0" w:noHBand="0" w:noVBand="1"/>
        <w:tblCaption w:val="Adjusting for project scale."/>
        <w:tblDescription w:val="Adjusting for project scale."/>
      </w:tblPr>
      <w:tblGrid>
        <w:gridCol w:w="1418"/>
        <w:gridCol w:w="4252"/>
        <w:gridCol w:w="4253"/>
      </w:tblGrid>
      <w:tr w:rsidR="00E03E40" w:rsidRPr="00E03E40" w:rsidTr="006B77C8">
        <w:trPr>
          <w:cnfStyle w:val="100000000000" w:firstRow="1" w:lastRow="0" w:firstColumn="0" w:lastColumn="0" w:oddVBand="0" w:evenVBand="0" w:oddHBand="0" w:evenHBand="0" w:firstRowFirstColumn="0" w:firstRowLastColumn="0" w:lastRowFirstColumn="0" w:lastRowLastColumn="0"/>
          <w:trHeight w:val="20"/>
          <w:tblHeader/>
        </w:trPr>
        <w:tc>
          <w:tcPr>
            <w:tcW w:w="1418" w:type="dxa"/>
            <w:tcBorders>
              <w:right w:val="single" w:sz="8" w:space="0" w:color="FFFFFF" w:themeColor="background1"/>
            </w:tcBorders>
            <w:shd w:val="clear" w:color="auto" w:fill="1F497D" w:themeFill="text2"/>
          </w:tcPr>
          <w:p w:rsidR="00E03E40" w:rsidRPr="00E03E40" w:rsidRDefault="00E03E40" w:rsidP="000679FF">
            <w:pPr>
              <w:autoSpaceDE w:val="0"/>
              <w:autoSpaceDN w:val="0"/>
              <w:adjustRightInd w:val="0"/>
              <w:spacing w:before="120" w:after="120" w:line="276" w:lineRule="auto"/>
              <w:rPr>
                <w:rFonts w:ascii="Gill Sans MT" w:hAnsi="Gill Sans MT" w:cs="Arial"/>
                <w:bCs w:val="0"/>
                <w:sz w:val="22"/>
                <w:szCs w:val="22"/>
                <w:lang w:eastAsia="en-AU"/>
              </w:rPr>
            </w:pPr>
            <w:r w:rsidRPr="00E03E40">
              <w:rPr>
                <w:rFonts w:ascii="Gill Sans MT" w:hAnsi="Gill Sans MT" w:cs="Arial"/>
                <w:bCs w:val="0"/>
                <w:sz w:val="22"/>
                <w:szCs w:val="22"/>
                <w:lang w:eastAsia="en-AU"/>
              </w:rPr>
              <w:t>Scale</w:t>
            </w:r>
            <w:r w:rsidR="00EB1633" w:rsidRPr="00EB1633">
              <w:rPr>
                <w:rFonts w:ascii="Gill Sans MT" w:hAnsi="Gill Sans MT" w:cs="Arial"/>
                <w:bCs w:val="0"/>
                <w:color w:val="1F497D" w:themeColor="text2"/>
                <w:sz w:val="22"/>
                <w:szCs w:val="22"/>
                <w:lang w:eastAsia="en-AU"/>
              </w:rPr>
              <w:t>.</w:t>
            </w:r>
          </w:p>
        </w:tc>
        <w:tc>
          <w:tcPr>
            <w:tcW w:w="4252" w:type="dxa"/>
            <w:tcBorders>
              <w:left w:val="single" w:sz="8" w:space="0" w:color="FFFFFF" w:themeColor="background1"/>
              <w:right w:val="single" w:sz="8" w:space="0" w:color="FFFFFF" w:themeColor="background1"/>
            </w:tcBorders>
            <w:shd w:val="clear" w:color="auto" w:fill="1F497D" w:themeFill="text2"/>
          </w:tcPr>
          <w:p w:rsidR="00E03E40" w:rsidRPr="00E03E40" w:rsidRDefault="00E03E40" w:rsidP="000679FF">
            <w:pPr>
              <w:autoSpaceDE w:val="0"/>
              <w:autoSpaceDN w:val="0"/>
              <w:adjustRightInd w:val="0"/>
              <w:spacing w:before="120" w:after="120" w:line="276" w:lineRule="auto"/>
              <w:rPr>
                <w:rFonts w:ascii="Gill Sans MT" w:hAnsi="Gill Sans MT" w:cs="Arial"/>
                <w:bCs w:val="0"/>
                <w:sz w:val="22"/>
                <w:szCs w:val="22"/>
                <w:lang w:eastAsia="en-AU"/>
              </w:rPr>
            </w:pPr>
            <w:r w:rsidRPr="00E03E40">
              <w:rPr>
                <w:rFonts w:ascii="Gill Sans MT" w:hAnsi="Gill Sans MT" w:cs="Arial"/>
                <w:bCs w:val="0"/>
                <w:sz w:val="22"/>
                <w:szCs w:val="22"/>
                <w:lang w:eastAsia="en-AU"/>
              </w:rPr>
              <w:t>Type of Change</w:t>
            </w:r>
            <w:r w:rsidR="00EB1633" w:rsidRPr="00EB1633">
              <w:rPr>
                <w:rFonts w:ascii="Gill Sans MT" w:hAnsi="Gill Sans MT" w:cs="Arial"/>
                <w:bCs w:val="0"/>
                <w:color w:val="1F497D" w:themeColor="text2"/>
                <w:sz w:val="22"/>
                <w:szCs w:val="22"/>
                <w:lang w:eastAsia="en-AU"/>
              </w:rPr>
              <w:t>.</w:t>
            </w:r>
          </w:p>
        </w:tc>
        <w:tc>
          <w:tcPr>
            <w:tcW w:w="4253" w:type="dxa"/>
            <w:tcBorders>
              <w:left w:val="single" w:sz="8" w:space="0" w:color="FFFFFF" w:themeColor="background1"/>
            </w:tcBorders>
            <w:shd w:val="clear" w:color="auto" w:fill="1F497D" w:themeFill="text2"/>
          </w:tcPr>
          <w:p w:rsidR="00E03E40" w:rsidRPr="00E03E40" w:rsidRDefault="00E03E40" w:rsidP="000679FF">
            <w:pPr>
              <w:autoSpaceDE w:val="0"/>
              <w:autoSpaceDN w:val="0"/>
              <w:adjustRightInd w:val="0"/>
              <w:spacing w:before="120" w:after="120" w:line="276" w:lineRule="auto"/>
              <w:rPr>
                <w:rFonts w:ascii="Gill Sans MT" w:hAnsi="Gill Sans MT" w:cs="Arial"/>
                <w:bCs w:val="0"/>
                <w:sz w:val="22"/>
                <w:szCs w:val="22"/>
                <w:lang w:eastAsia="en-AU"/>
              </w:rPr>
            </w:pPr>
            <w:r w:rsidRPr="00E03E40">
              <w:rPr>
                <w:rFonts w:ascii="Gill Sans MT" w:hAnsi="Gill Sans MT" w:cs="Arial"/>
                <w:bCs w:val="0"/>
                <w:sz w:val="22"/>
                <w:szCs w:val="22"/>
                <w:lang w:eastAsia="en-AU"/>
              </w:rPr>
              <w:t>Guidance on how to apply this process</w:t>
            </w:r>
            <w:r w:rsidR="00EB1633" w:rsidRPr="00EB1633">
              <w:rPr>
                <w:rFonts w:ascii="Gill Sans MT" w:hAnsi="Gill Sans MT" w:cs="Arial"/>
                <w:bCs w:val="0"/>
                <w:color w:val="1F497D" w:themeColor="text2"/>
                <w:sz w:val="22"/>
                <w:szCs w:val="22"/>
                <w:lang w:eastAsia="en-AU"/>
              </w:rPr>
              <w:t>.</w:t>
            </w:r>
          </w:p>
        </w:tc>
      </w:tr>
      <w:tr w:rsidR="00E03E40" w:rsidRPr="00E03E40" w:rsidTr="006B77C8">
        <w:trPr>
          <w:cnfStyle w:val="000000100000" w:firstRow="0" w:lastRow="0" w:firstColumn="0" w:lastColumn="0" w:oddVBand="0" w:evenVBand="0" w:oddHBand="1" w:evenHBand="0" w:firstRowFirstColumn="0" w:firstRowLastColumn="0" w:lastRowFirstColumn="0" w:lastRowLastColumn="0"/>
          <w:trHeight w:val="20"/>
        </w:trPr>
        <w:tc>
          <w:tcPr>
            <w:tcW w:w="1418" w:type="dxa"/>
            <w:tcBorders>
              <w:top w:val="none" w:sz="0" w:space="0" w:color="auto"/>
              <w:left w:val="none" w:sz="0" w:space="0" w:color="auto"/>
              <w:bottom w:val="none" w:sz="0" w:space="0" w:color="auto"/>
            </w:tcBorders>
            <w:shd w:val="clear" w:color="auto" w:fill="DBE5F1" w:themeFill="accent1" w:themeFillTint="33"/>
            <w:vAlign w:val="center"/>
          </w:tcPr>
          <w:p w:rsidR="00E03E40" w:rsidRPr="00E03E40" w:rsidRDefault="00E03E40" w:rsidP="000679FF">
            <w:pPr>
              <w:autoSpaceDE w:val="0"/>
              <w:autoSpaceDN w:val="0"/>
              <w:adjustRightInd w:val="0"/>
              <w:spacing w:before="120" w:after="120" w:line="276" w:lineRule="auto"/>
              <w:rPr>
                <w:rFonts w:ascii="Gill Sans MT" w:hAnsi="Gill Sans MT" w:cs="Arial"/>
                <w:b/>
                <w:bCs/>
                <w:color w:val="000000"/>
                <w:sz w:val="22"/>
                <w:szCs w:val="22"/>
                <w:lang w:eastAsia="en-AU"/>
              </w:rPr>
            </w:pPr>
            <w:r w:rsidRPr="00E03E40">
              <w:rPr>
                <w:rFonts w:ascii="Gill Sans MT" w:hAnsi="Gill Sans MT" w:cs="Arial"/>
                <w:color w:val="000000"/>
                <w:sz w:val="22"/>
                <w:szCs w:val="22"/>
                <w:lang w:eastAsia="en-AU"/>
              </w:rPr>
              <w:t>Small</w:t>
            </w:r>
            <w:r w:rsidR="00EB1633" w:rsidRPr="00EB1633">
              <w:rPr>
                <w:rFonts w:ascii="Gill Sans MT" w:hAnsi="Gill Sans MT" w:cs="Arial"/>
                <w:color w:val="DBE5F1" w:themeColor="accent1" w:themeTint="33"/>
                <w:sz w:val="22"/>
                <w:szCs w:val="22"/>
                <w:lang w:eastAsia="en-AU"/>
              </w:rPr>
              <w:t>.</w:t>
            </w:r>
          </w:p>
        </w:tc>
        <w:tc>
          <w:tcPr>
            <w:tcW w:w="4252" w:type="dxa"/>
            <w:tcBorders>
              <w:top w:val="none" w:sz="0" w:space="0" w:color="auto"/>
              <w:bottom w:val="none" w:sz="0" w:space="0" w:color="auto"/>
            </w:tcBorders>
            <w:shd w:val="clear" w:color="auto" w:fill="DBE5F1" w:themeFill="accent1" w:themeFillTint="33"/>
            <w:vAlign w:val="center"/>
          </w:tcPr>
          <w:p w:rsidR="00E03E40" w:rsidRPr="00E03E40" w:rsidRDefault="00E03E40" w:rsidP="000679FF">
            <w:pPr>
              <w:autoSpaceDE w:val="0"/>
              <w:autoSpaceDN w:val="0"/>
              <w:adjustRightInd w:val="0"/>
              <w:spacing w:before="120" w:after="120" w:line="276" w:lineRule="auto"/>
              <w:rPr>
                <w:rFonts w:ascii="Gill Sans MT" w:hAnsi="Gill Sans MT" w:cs="Arial"/>
                <w:color w:val="000000"/>
                <w:sz w:val="22"/>
                <w:szCs w:val="22"/>
                <w:lang w:eastAsia="en-AU"/>
              </w:rPr>
            </w:pPr>
            <w:r w:rsidRPr="00E03E40">
              <w:rPr>
                <w:rFonts w:ascii="Gill Sans MT" w:hAnsi="Gill Sans MT" w:cs="Arial"/>
                <w:color w:val="000000"/>
                <w:sz w:val="22"/>
                <w:szCs w:val="22"/>
                <w:lang w:eastAsia="en-AU"/>
              </w:rPr>
              <w:t>Improving and refining methods, policies and procedures; the future state is not very different to the current ways of working</w:t>
            </w:r>
            <w:r w:rsidR="00EB1633">
              <w:rPr>
                <w:rFonts w:ascii="Gill Sans MT" w:hAnsi="Gill Sans MT" w:cs="Arial"/>
                <w:color w:val="000000"/>
                <w:sz w:val="22"/>
                <w:szCs w:val="22"/>
                <w:lang w:eastAsia="en-AU"/>
              </w:rPr>
              <w:t>.</w:t>
            </w:r>
          </w:p>
        </w:tc>
        <w:tc>
          <w:tcPr>
            <w:tcW w:w="4253" w:type="dxa"/>
            <w:tcBorders>
              <w:top w:val="none" w:sz="0" w:space="0" w:color="auto"/>
              <w:bottom w:val="none" w:sz="0" w:space="0" w:color="auto"/>
              <w:right w:val="none" w:sz="0" w:space="0" w:color="auto"/>
            </w:tcBorders>
            <w:shd w:val="clear" w:color="auto" w:fill="DBE5F1" w:themeFill="accent1" w:themeFillTint="33"/>
            <w:vAlign w:val="center"/>
          </w:tcPr>
          <w:p w:rsidR="00E03E40" w:rsidRPr="00E03E40" w:rsidRDefault="00E03E40" w:rsidP="000679FF">
            <w:pPr>
              <w:spacing w:before="120" w:after="120" w:line="276" w:lineRule="auto"/>
              <w:rPr>
                <w:rFonts w:ascii="Gill Sans MT" w:hAnsi="Gill Sans MT"/>
                <w:sz w:val="22"/>
                <w:szCs w:val="22"/>
              </w:rPr>
            </w:pPr>
            <w:r w:rsidRPr="00E03E40">
              <w:rPr>
                <w:rFonts w:ascii="Gill Sans MT" w:hAnsi="Gill Sans MT"/>
                <w:sz w:val="22"/>
                <w:szCs w:val="22"/>
              </w:rPr>
              <w:t>The task is less onerous for smaller changes and may simply involve tracking a ‘before’ and ‘after’ measure.</w:t>
            </w:r>
          </w:p>
        </w:tc>
      </w:tr>
      <w:tr w:rsidR="00E03E40" w:rsidRPr="00E03E40" w:rsidTr="006B77C8">
        <w:trPr>
          <w:trHeight w:val="20"/>
        </w:trPr>
        <w:tc>
          <w:tcPr>
            <w:tcW w:w="1418" w:type="dxa"/>
            <w:shd w:val="clear" w:color="auto" w:fill="auto"/>
            <w:vAlign w:val="center"/>
          </w:tcPr>
          <w:p w:rsidR="00E03E40" w:rsidRPr="00E03E40" w:rsidRDefault="00E03E40" w:rsidP="000679FF">
            <w:pPr>
              <w:autoSpaceDE w:val="0"/>
              <w:autoSpaceDN w:val="0"/>
              <w:adjustRightInd w:val="0"/>
              <w:spacing w:before="120" w:after="120" w:line="276" w:lineRule="auto"/>
              <w:rPr>
                <w:rFonts w:ascii="Gill Sans MT" w:hAnsi="Gill Sans MT" w:cs="Arial"/>
                <w:b/>
                <w:bCs/>
                <w:color w:val="000000"/>
                <w:sz w:val="22"/>
                <w:szCs w:val="22"/>
                <w:lang w:eastAsia="en-AU"/>
              </w:rPr>
            </w:pPr>
            <w:r w:rsidRPr="00E03E40">
              <w:rPr>
                <w:rFonts w:ascii="Gill Sans MT" w:hAnsi="Gill Sans MT" w:cs="Arial"/>
                <w:color w:val="000000"/>
                <w:sz w:val="22"/>
                <w:szCs w:val="22"/>
                <w:lang w:eastAsia="en-AU"/>
              </w:rPr>
              <w:t>Medium</w:t>
            </w:r>
            <w:r w:rsidR="00EB1633" w:rsidRPr="00EB1633">
              <w:rPr>
                <w:rFonts w:ascii="Gill Sans MT" w:hAnsi="Gill Sans MT" w:cs="Arial"/>
                <w:color w:val="FFFFFF" w:themeColor="background1"/>
                <w:sz w:val="22"/>
                <w:szCs w:val="22"/>
                <w:lang w:eastAsia="en-AU"/>
              </w:rPr>
              <w:t>.</w:t>
            </w:r>
          </w:p>
        </w:tc>
        <w:tc>
          <w:tcPr>
            <w:tcW w:w="4252" w:type="dxa"/>
            <w:shd w:val="clear" w:color="auto" w:fill="auto"/>
            <w:vAlign w:val="center"/>
          </w:tcPr>
          <w:p w:rsidR="00E03E40" w:rsidRPr="00E03E40" w:rsidRDefault="00E03E40" w:rsidP="000679FF">
            <w:pPr>
              <w:autoSpaceDE w:val="0"/>
              <w:autoSpaceDN w:val="0"/>
              <w:adjustRightInd w:val="0"/>
              <w:spacing w:before="120" w:after="120" w:line="276" w:lineRule="auto"/>
              <w:rPr>
                <w:rFonts w:ascii="Gill Sans MT" w:hAnsi="Gill Sans MT" w:cs="Arial"/>
                <w:color w:val="000000"/>
                <w:sz w:val="22"/>
                <w:szCs w:val="22"/>
                <w:lang w:eastAsia="en-AU"/>
              </w:rPr>
            </w:pPr>
            <w:r w:rsidRPr="00E03E40">
              <w:rPr>
                <w:rFonts w:ascii="Gill Sans MT" w:hAnsi="Gill Sans MT" w:cs="Arial"/>
                <w:color w:val="000000"/>
                <w:sz w:val="22"/>
                <w:szCs w:val="22"/>
                <w:lang w:eastAsia="en-AU"/>
              </w:rPr>
              <w:t>Distinct modifications to strategies, structures and management processes</w:t>
            </w:r>
            <w:r w:rsidR="00EB1633">
              <w:rPr>
                <w:rFonts w:ascii="Gill Sans MT" w:hAnsi="Gill Sans MT" w:cs="Arial"/>
                <w:color w:val="000000"/>
                <w:sz w:val="22"/>
                <w:szCs w:val="22"/>
                <w:lang w:eastAsia="en-AU"/>
              </w:rPr>
              <w:t>.</w:t>
            </w:r>
          </w:p>
        </w:tc>
        <w:tc>
          <w:tcPr>
            <w:tcW w:w="4253" w:type="dxa"/>
            <w:shd w:val="clear" w:color="auto" w:fill="auto"/>
            <w:vAlign w:val="center"/>
          </w:tcPr>
          <w:p w:rsidR="00E03E40" w:rsidRPr="00E03E40" w:rsidRDefault="00E03E40" w:rsidP="000679FF">
            <w:pPr>
              <w:spacing w:before="120" w:after="120" w:line="276" w:lineRule="auto"/>
              <w:rPr>
                <w:rFonts w:ascii="Gill Sans MT" w:hAnsi="Gill Sans MT"/>
                <w:sz w:val="22"/>
                <w:szCs w:val="22"/>
              </w:rPr>
            </w:pPr>
            <w:r w:rsidRPr="00E03E40">
              <w:rPr>
                <w:rFonts w:ascii="Gill Sans MT" w:hAnsi="Gill Sans MT"/>
                <w:sz w:val="22"/>
                <w:szCs w:val="22"/>
              </w:rPr>
              <w:t>The task is less onerous for medium changes and may only include a few metrics.</w:t>
            </w:r>
          </w:p>
        </w:tc>
      </w:tr>
      <w:tr w:rsidR="00E03E40" w:rsidRPr="00E03E40" w:rsidTr="006B77C8">
        <w:trPr>
          <w:cnfStyle w:val="000000100000" w:firstRow="0" w:lastRow="0" w:firstColumn="0" w:lastColumn="0" w:oddVBand="0" w:evenVBand="0" w:oddHBand="1" w:evenHBand="0" w:firstRowFirstColumn="0" w:firstRowLastColumn="0" w:lastRowFirstColumn="0" w:lastRowLastColumn="0"/>
          <w:trHeight w:val="20"/>
        </w:trPr>
        <w:tc>
          <w:tcPr>
            <w:tcW w:w="1418" w:type="dxa"/>
            <w:tcBorders>
              <w:top w:val="none" w:sz="0" w:space="0" w:color="auto"/>
              <w:left w:val="none" w:sz="0" w:space="0" w:color="auto"/>
              <w:bottom w:val="none" w:sz="0" w:space="0" w:color="auto"/>
            </w:tcBorders>
            <w:shd w:val="clear" w:color="auto" w:fill="DBE5F1" w:themeFill="accent1" w:themeFillTint="33"/>
            <w:vAlign w:val="center"/>
          </w:tcPr>
          <w:p w:rsidR="00E03E40" w:rsidRPr="00E03E40" w:rsidRDefault="00E03E40" w:rsidP="000679FF">
            <w:pPr>
              <w:autoSpaceDE w:val="0"/>
              <w:autoSpaceDN w:val="0"/>
              <w:adjustRightInd w:val="0"/>
              <w:spacing w:before="120" w:after="120" w:line="276" w:lineRule="auto"/>
              <w:rPr>
                <w:rFonts w:ascii="Gill Sans MT" w:hAnsi="Gill Sans MT" w:cs="Arial"/>
                <w:b/>
                <w:bCs/>
                <w:color w:val="000000"/>
                <w:sz w:val="22"/>
                <w:szCs w:val="22"/>
                <w:lang w:eastAsia="en-AU"/>
              </w:rPr>
            </w:pPr>
            <w:r w:rsidRPr="00E03E40">
              <w:rPr>
                <w:rFonts w:ascii="Gill Sans MT" w:hAnsi="Gill Sans MT" w:cs="Arial"/>
                <w:color w:val="000000"/>
                <w:sz w:val="22"/>
                <w:szCs w:val="22"/>
                <w:lang w:eastAsia="en-AU"/>
              </w:rPr>
              <w:t>Large</w:t>
            </w:r>
            <w:r w:rsidR="00EB1633" w:rsidRPr="00EB1633">
              <w:rPr>
                <w:rFonts w:ascii="Gill Sans MT" w:hAnsi="Gill Sans MT" w:cs="Arial"/>
                <w:color w:val="DBE5F1" w:themeColor="accent1" w:themeTint="33"/>
                <w:sz w:val="22"/>
                <w:szCs w:val="22"/>
                <w:lang w:eastAsia="en-AU"/>
              </w:rPr>
              <w:t>.</w:t>
            </w:r>
          </w:p>
        </w:tc>
        <w:tc>
          <w:tcPr>
            <w:tcW w:w="4252" w:type="dxa"/>
            <w:tcBorders>
              <w:top w:val="none" w:sz="0" w:space="0" w:color="auto"/>
              <w:bottom w:val="none" w:sz="0" w:space="0" w:color="auto"/>
            </w:tcBorders>
            <w:shd w:val="clear" w:color="auto" w:fill="DBE5F1" w:themeFill="accent1" w:themeFillTint="33"/>
            <w:vAlign w:val="center"/>
          </w:tcPr>
          <w:p w:rsidR="00E03E40" w:rsidRPr="00E03E40" w:rsidRDefault="00E03E40" w:rsidP="00EB1633">
            <w:pPr>
              <w:autoSpaceDE w:val="0"/>
              <w:autoSpaceDN w:val="0"/>
              <w:adjustRightInd w:val="0"/>
              <w:spacing w:before="120" w:after="120" w:line="276" w:lineRule="auto"/>
              <w:rPr>
                <w:rFonts w:ascii="Gill Sans MT" w:hAnsi="Gill Sans MT" w:cs="Arial"/>
                <w:b/>
                <w:bCs/>
                <w:color w:val="000000"/>
                <w:sz w:val="22"/>
                <w:szCs w:val="22"/>
                <w:lang w:eastAsia="en-AU"/>
              </w:rPr>
            </w:pPr>
            <w:r w:rsidRPr="00E03E40">
              <w:rPr>
                <w:rFonts w:ascii="Gill Sans MT" w:hAnsi="Gill Sans MT" w:cs="Arial"/>
                <w:color w:val="000000"/>
                <w:sz w:val="22"/>
                <w:szCs w:val="22"/>
                <w:lang w:eastAsia="en-AU"/>
              </w:rPr>
              <w:t xml:space="preserve">Substantial realignment, restructuring and transformation of all or part of the organisation </w:t>
            </w:r>
          </w:p>
        </w:tc>
        <w:tc>
          <w:tcPr>
            <w:tcW w:w="4253" w:type="dxa"/>
            <w:tcBorders>
              <w:top w:val="none" w:sz="0" w:space="0" w:color="auto"/>
              <w:bottom w:val="none" w:sz="0" w:space="0" w:color="auto"/>
              <w:right w:val="none" w:sz="0" w:space="0" w:color="auto"/>
            </w:tcBorders>
            <w:shd w:val="clear" w:color="auto" w:fill="DBE5F1" w:themeFill="accent1" w:themeFillTint="33"/>
            <w:vAlign w:val="center"/>
          </w:tcPr>
          <w:p w:rsidR="00E03E40" w:rsidRPr="00E03E40" w:rsidRDefault="00E03E40" w:rsidP="000679FF">
            <w:pPr>
              <w:spacing w:before="120" w:after="120" w:line="276" w:lineRule="auto"/>
              <w:rPr>
                <w:rFonts w:ascii="Gill Sans MT" w:hAnsi="Gill Sans MT"/>
                <w:sz w:val="22"/>
                <w:szCs w:val="22"/>
              </w:rPr>
            </w:pPr>
            <w:r w:rsidRPr="00E03E40">
              <w:rPr>
                <w:rFonts w:ascii="Gill Sans MT" w:hAnsi="Gill Sans MT"/>
                <w:sz w:val="22"/>
                <w:szCs w:val="22"/>
              </w:rPr>
              <w:t>A detailed and rigorous benefits realisation approach is required for large, complex change programs. Consider allocating the role to someone with deep analytics skills and a good understanding of the change program.</w:t>
            </w:r>
          </w:p>
        </w:tc>
      </w:tr>
    </w:tbl>
    <w:p w:rsidR="00D94F71" w:rsidRPr="00E03E40" w:rsidRDefault="00D94F71" w:rsidP="00C875CC">
      <w:pPr>
        <w:keepNext/>
        <w:spacing w:before="120" w:after="120" w:line="276" w:lineRule="auto"/>
        <w:ind w:right="-23"/>
        <w:rPr>
          <w:rFonts w:ascii="Gill Sans MT" w:hAnsi="Gill Sans MT" w:cs="Arial"/>
          <w:b/>
          <w:color w:val="1F497D" w:themeColor="text2"/>
          <w:szCs w:val="20"/>
        </w:rPr>
      </w:pPr>
      <w:r w:rsidRPr="00E03E40">
        <w:rPr>
          <w:rFonts w:ascii="Gill Sans MT" w:hAnsi="Gill Sans MT" w:cs="Arial"/>
          <w:b/>
          <w:color w:val="1F497D" w:themeColor="text2"/>
          <w:szCs w:val="20"/>
        </w:rPr>
        <w:lastRenderedPageBreak/>
        <w:t>Success measures</w:t>
      </w:r>
    </w:p>
    <w:p w:rsidR="00D94F71" w:rsidRPr="00D94F71" w:rsidRDefault="00D94F71" w:rsidP="00C875CC">
      <w:pPr>
        <w:keepNext/>
        <w:spacing w:before="120" w:after="120" w:line="276" w:lineRule="auto"/>
        <w:ind w:right="-23"/>
        <w:rPr>
          <w:rFonts w:ascii="Gill Sans MT" w:hAnsi="Gill Sans MT"/>
          <w:sz w:val="22"/>
          <w:szCs w:val="22"/>
          <w:lang w:val="en"/>
        </w:rPr>
      </w:pPr>
      <w:r w:rsidRPr="00D94F71">
        <w:rPr>
          <w:rFonts w:ascii="Gill Sans MT" w:hAnsi="Gill Sans MT"/>
          <w:sz w:val="22"/>
          <w:szCs w:val="22"/>
          <w:lang w:val="en"/>
        </w:rPr>
        <w:t>Benefits realisation activities will be successful if:</w:t>
      </w:r>
    </w:p>
    <w:p w:rsidR="00D94F71" w:rsidRPr="00D94F71" w:rsidRDefault="00D94F71" w:rsidP="00C875CC">
      <w:pPr>
        <w:pStyle w:val="ListParagraph"/>
        <w:keepNext/>
        <w:numPr>
          <w:ilvl w:val="0"/>
          <w:numId w:val="22"/>
        </w:numPr>
        <w:spacing w:before="120" w:after="120" w:line="276" w:lineRule="auto"/>
        <w:ind w:right="-23"/>
        <w:contextualSpacing w:val="0"/>
        <w:rPr>
          <w:rFonts w:ascii="Gill Sans MT" w:hAnsi="Gill Sans MT"/>
          <w:sz w:val="22"/>
          <w:szCs w:val="22"/>
          <w:lang w:val="en"/>
        </w:rPr>
      </w:pPr>
      <w:r w:rsidRPr="00D94F71">
        <w:rPr>
          <w:rFonts w:ascii="Gill Sans MT" w:hAnsi="Gill Sans MT"/>
          <w:sz w:val="22"/>
          <w:szCs w:val="22"/>
          <w:lang w:val="en"/>
        </w:rPr>
        <w:t>there is transparency of performance and leaders understand what the project is delivering</w:t>
      </w:r>
    </w:p>
    <w:p w:rsidR="00D94F71" w:rsidRPr="00D94F71" w:rsidRDefault="00D94F71" w:rsidP="00C875CC">
      <w:pPr>
        <w:pStyle w:val="ListParagraph"/>
        <w:keepNext/>
        <w:numPr>
          <w:ilvl w:val="0"/>
          <w:numId w:val="22"/>
        </w:numPr>
        <w:spacing w:before="120" w:after="120" w:line="276" w:lineRule="auto"/>
        <w:ind w:right="-23"/>
        <w:contextualSpacing w:val="0"/>
        <w:rPr>
          <w:rFonts w:ascii="Gill Sans MT" w:hAnsi="Gill Sans MT"/>
          <w:sz w:val="22"/>
          <w:szCs w:val="22"/>
          <w:lang w:val="en"/>
        </w:rPr>
      </w:pPr>
      <w:r w:rsidRPr="00D94F71">
        <w:rPr>
          <w:rFonts w:ascii="Gill Sans MT" w:hAnsi="Gill Sans MT"/>
          <w:sz w:val="22"/>
          <w:szCs w:val="22"/>
          <w:lang w:val="en"/>
        </w:rPr>
        <w:t>timely decisions are made when measurement identifies areas for adjustment</w:t>
      </w:r>
    </w:p>
    <w:p w:rsidR="00D94F71" w:rsidRPr="00D94F71" w:rsidRDefault="00D94F71" w:rsidP="00C875CC">
      <w:pPr>
        <w:pStyle w:val="ListParagraph"/>
        <w:keepNext/>
        <w:numPr>
          <w:ilvl w:val="0"/>
          <w:numId w:val="22"/>
        </w:numPr>
        <w:spacing w:before="120" w:after="120" w:line="276" w:lineRule="auto"/>
        <w:ind w:right="-23"/>
        <w:contextualSpacing w:val="0"/>
        <w:rPr>
          <w:rFonts w:ascii="Gill Sans MT" w:hAnsi="Gill Sans MT"/>
          <w:sz w:val="22"/>
          <w:szCs w:val="22"/>
          <w:lang w:val="en"/>
        </w:rPr>
      </w:pPr>
      <w:r w:rsidRPr="00D94F71">
        <w:rPr>
          <w:rFonts w:ascii="Gill Sans MT" w:hAnsi="Gill Sans MT"/>
          <w:sz w:val="22"/>
          <w:szCs w:val="22"/>
          <w:lang w:val="en"/>
        </w:rPr>
        <w:t>there is an increased focus on benefits delivery</w:t>
      </w:r>
    </w:p>
    <w:p w:rsidR="00D94F71" w:rsidRPr="00D94F71" w:rsidRDefault="00D94F71" w:rsidP="000679FF">
      <w:pPr>
        <w:pStyle w:val="ListParagraph"/>
        <w:numPr>
          <w:ilvl w:val="0"/>
          <w:numId w:val="22"/>
        </w:numPr>
        <w:spacing w:before="120" w:after="120" w:line="276" w:lineRule="auto"/>
        <w:ind w:right="-23"/>
        <w:contextualSpacing w:val="0"/>
        <w:rPr>
          <w:rFonts w:ascii="Gill Sans MT" w:hAnsi="Gill Sans MT"/>
          <w:sz w:val="22"/>
          <w:szCs w:val="22"/>
          <w:lang w:val="en"/>
        </w:rPr>
      </w:pPr>
      <w:r w:rsidRPr="00D94F71">
        <w:rPr>
          <w:rFonts w:ascii="Gill Sans MT" w:hAnsi="Gill Sans MT"/>
          <w:sz w:val="22"/>
          <w:szCs w:val="22"/>
          <w:lang w:val="en"/>
        </w:rPr>
        <w:t>costs are controlled</w:t>
      </w:r>
    </w:p>
    <w:p w:rsidR="00D94F71" w:rsidRPr="00D94F71" w:rsidRDefault="00D94F71" w:rsidP="000679FF">
      <w:pPr>
        <w:pStyle w:val="ListParagraph"/>
        <w:numPr>
          <w:ilvl w:val="0"/>
          <w:numId w:val="22"/>
        </w:numPr>
        <w:spacing w:before="120" w:after="120" w:line="276" w:lineRule="auto"/>
        <w:ind w:right="-23"/>
        <w:contextualSpacing w:val="0"/>
        <w:rPr>
          <w:rFonts w:ascii="Gill Sans MT" w:hAnsi="Gill Sans MT"/>
          <w:sz w:val="22"/>
          <w:szCs w:val="22"/>
          <w:lang w:val="en"/>
        </w:rPr>
      </w:pPr>
      <w:r w:rsidRPr="00D94F71">
        <w:rPr>
          <w:rFonts w:ascii="Gill Sans MT" w:hAnsi="Gill Sans MT"/>
          <w:sz w:val="22"/>
          <w:szCs w:val="22"/>
          <w:lang w:val="en"/>
        </w:rPr>
        <w:t>risks are well managed through disciplined process and performance controls; and</w:t>
      </w:r>
    </w:p>
    <w:p w:rsidR="00D94F71" w:rsidRPr="00D94F71" w:rsidRDefault="00D94F71" w:rsidP="000679FF">
      <w:pPr>
        <w:pStyle w:val="ListParagraph"/>
        <w:numPr>
          <w:ilvl w:val="0"/>
          <w:numId w:val="22"/>
        </w:numPr>
        <w:spacing w:before="120" w:after="120" w:line="276" w:lineRule="auto"/>
        <w:ind w:right="-23"/>
        <w:contextualSpacing w:val="0"/>
        <w:rPr>
          <w:rFonts w:ascii="Gill Sans MT" w:hAnsi="Gill Sans MT"/>
          <w:sz w:val="22"/>
          <w:szCs w:val="22"/>
          <w:lang w:val="en"/>
        </w:rPr>
      </w:pPr>
      <w:proofErr w:type="gramStart"/>
      <w:r w:rsidRPr="00D94F71">
        <w:rPr>
          <w:rFonts w:ascii="Gill Sans MT" w:hAnsi="Gill Sans MT"/>
          <w:sz w:val="22"/>
          <w:szCs w:val="22"/>
          <w:lang w:val="en"/>
        </w:rPr>
        <w:t>successes</w:t>
      </w:r>
      <w:proofErr w:type="gramEnd"/>
      <w:r w:rsidRPr="00D94F71">
        <w:rPr>
          <w:rFonts w:ascii="Gill Sans MT" w:hAnsi="Gill Sans MT"/>
          <w:sz w:val="22"/>
          <w:szCs w:val="22"/>
          <w:lang w:val="en"/>
        </w:rPr>
        <w:t xml:space="preserve"> are celebrated by internal and external stakeholders.</w:t>
      </w:r>
    </w:p>
    <w:p w:rsidR="00D94F71" w:rsidRPr="00C875CC" w:rsidRDefault="00D94F71" w:rsidP="00C875CC">
      <w:pPr>
        <w:keepNext/>
        <w:spacing w:before="120" w:after="120" w:line="276" w:lineRule="auto"/>
        <w:ind w:right="-23"/>
        <w:rPr>
          <w:rFonts w:ascii="Gill Sans MT" w:hAnsi="Gill Sans MT"/>
          <w:sz w:val="22"/>
          <w:szCs w:val="22"/>
          <w:lang w:val="en"/>
        </w:rPr>
      </w:pPr>
      <w:r w:rsidRPr="00C875CC">
        <w:rPr>
          <w:rFonts w:ascii="Gill Sans MT" w:hAnsi="Gill Sans MT"/>
          <w:sz w:val="22"/>
          <w:szCs w:val="22"/>
          <w:lang w:val="en"/>
        </w:rPr>
        <w:t>You are also more likely to succeed if people who can influence the results are held to account for their delivery. This in turn delivers greater:</w:t>
      </w:r>
    </w:p>
    <w:p w:rsidR="00D94F71" w:rsidRPr="00C875CC" w:rsidRDefault="00D94F71" w:rsidP="000679FF">
      <w:pPr>
        <w:pStyle w:val="ListParagraph"/>
        <w:numPr>
          <w:ilvl w:val="0"/>
          <w:numId w:val="23"/>
        </w:numPr>
        <w:spacing w:before="120" w:after="120" w:line="276" w:lineRule="auto"/>
        <w:ind w:right="-23"/>
        <w:contextualSpacing w:val="0"/>
        <w:rPr>
          <w:rFonts w:ascii="Gill Sans MT" w:hAnsi="Gill Sans MT"/>
          <w:sz w:val="22"/>
          <w:szCs w:val="22"/>
          <w:lang w:val="en"/>
        </w:rPr>
      </w:pPr>
      <w:r w:rsidRPr="00C875CC">
        <w:rPr>
          <w:rFonts w:ascii="Gill Sans MT" w:hAnsi="Gill Sans MT"/>
          <w:sz w:val="22"/>
          <w:szCs w:val="22"/>
          <w:lang w:val="en"/>
        </w:rPr>
        <w:t>return on project investment – returns are delivered faster and more completely</w:t>
      </w:r>
    </w:p>
    <w:p w:rsidR="00D94F71" w:rsidRPr="00C875CC" w:rsidRDefault="00D94F71" w:rsidP="000679FF">
      <w:pPr>
        <w:pStyle w:val="ListParagraph"/>
        <w:numPr>
          <w:ilvl w:val="0"/>
          <w:numId w:val="23"/>
        </w:numPr>
        <w:spacing w:before="120" w:after="120" w:line="276" w:lineRule="auto"/>
        <w:ind w:right="-23"/>
        <w:contextualSpacing w:val="0"/>
        <w:rPr>
          <w:rFonts w:ascii="Gill Sans MT" w:hAnsi="Gill Sans MT"/>
          <w:sz w:val="22"/>
          <w:szCs w:val="22"/>
          <w:lang w:val="en"/>
        </w:rPr>
      </w:pPr>
      <w:proofErr w:type="gramStart"/>
      <w:r w:rsidRPr="00C875CC">
        <w:rPr>
          <w:rFonts w:ascii="Gill Sans MT" w:hAnsi="Gill Sans MT"/>
          <w:sz w:val="22"/>
          <w:szCs w:val="22"/>
          <w:lang w:val="en"/>
        </w:rPr>
        <w:t>efficiency</w:t>
      </w:r>
      <w:proofErr w:type="gramEnd"/>
      <w:r w:rsidRPr="00C875CC">
        <w:rPr>
          <w:rFonts w:ascii="Gill Sans MT" w:hAnsi="Gill Sans MT"/>
          <w:sz w:val="22"/>
          <w:szCs w:val="22"/>
          <w:lang w:val="en"/>
        </w:rPr>
        <w:t xml:space="preserve"> in project delivery – clarity on accountability leads to less passing the buck and more problem-solving.</w:t>
      </w:r>
      <w:bookmarkStart w:id="0" w:name="_GoBack"/>
      <w:bookmarkEnd w:id="0"/>
    </w:p>
    <w:sectPr w:rsidR="00D94F71" w:rsidRPr="00C875CC" w:rsidSect="000679FF">
      <w:headerReference w:type="default" r:id="rId13"/>
      <w:footerReference w:type="default" r:id="rId14"/>
      <w:pgSz w:w="11906" w:h="16838"/>
      <w:pgMar w:top="567" w:right="720" w:bottom="567" w:left="1134" w:header="709" w:footer="53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8B3" w:rsidRDefault="00BC68B3" w:rsidP="001E20B5">
      <w:r>
        <w:separator/>
      </w:r>
    </w:p>
  </w:endnote>
  <w:endnote w:type="continuationSeparator" w:id="0">
    <w:p w:rsidR="00BC68B3" w:rsidRDefault="00BC68B3" w:rsidP="001E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ill Sans Light">
    <w:altName w:val="GillSans Light"/>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Sans Light">
    <w:panose1 w:val="020B0402020204020204"/>
    <w:charset w:val="00"/>
    <w:family w:val="swiss"/>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GillSans">
    <w:panose1 w:val="020B0602020204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3D8" w:rsidRPr="005D13D8" w:rsidRDefault="006B77C8" w:rsidP="005D13D8">
    <w:pPr>
      <w:pStyle w:val="Footer"/>
      <w:rPr>
        <w:rFonts w:ascii="Gill Sans MT" w:hAnsi="Gill Sans MT"/>
        <w:sz w:val="20"/>
        <w:szCs w:val="20"/>
      </w:rPr>
    </w:pPr>
    <w:r w:rsidRPr="00EC6C4A">
      <w:rPr>
        <w:rFonts w:ascii="Gill Sans MT" w:hAnsi="Gill Sans MT"/>
        <w:noProof/>
        <w:sz w:val="20"/>
        <w:szCs w:val="20"/>
        <w:lang w:eastAsia="en-AU"/>
      </w:rPr>
      <w:drawing>
        <wp:anchor distT="0" distB="0" distL="114300" distR="114300" simplePos="0" relativeHeight="251659264" behindDoc="1" locked="0" layoutInCell="1" allowOverlap="1" wp14:anchorId="0C6B14D4" wp14:editId="030AAF9C">
          <wp:simplePos x="0" y="0"/>
          <wp:positionH relativeFrom="column">
            <wp:posOffset>-262890</wp:posOffset>
          </wp:positionH>
          <wp:positionV relativeFrom="paragraph">
            <wp:posOffset>-356708</wp:posOffset>
          </wp:positionV>
          <wp:extent cx="6948000" cy="662145"/>
          <wp:effectExtent l="0" t="0" r="0" b="5080"/>
          <wp:wrapNone/>
          <wp:docPr id="1" name="Picture 2" descr="Tasmanain Government logo with basewav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asmanain Government logo with basewave desig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66214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5D13D8">
      <w:rPr>
        <w:rFonts w:ascii="Gill Sans MT" w:hAnsi="Gill Sans MT"/>
        <w:sz w:val="20"/>
        <w:szCs w:val="20"/>
      </w:rPr>
      <w:t>State Service Management Office</w:t>
    </w:r>
  </w:p>
  <w:p w:rsidR="001E20B5" w:rsidRPr="008B07AE" w:rsidRDefault="005D13D8" w:rsidP="005D13D8">
    <w:pPr>
      <w:pStyle w:val="Footertext"/>
    </w:pPr>
    <w:r w:rsidRPr="005D13D8">
      <w:rPr>
        <w:rFonts w:ascii="Gill Sans MT" w:hAnsi="Gill Sans MT"/>
        <w:sz w:val="20"/>
        <w:szCs w:val="20"/>
      </w:rPr>
      <w:t>Department of Premier and Cabinet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D5" w:rsidRDefault="006E7AD5" w:rsidP="006E7AD5">
    <w:pPr>
      <w:pStyle w:val="Footer"/>
      <w:tabs>
        <w:tab w:val="clear" w:pos="4513"/>
        <w:tab w:val="clear" w:pos="9026"/>
        <w:tab w:val="left" w:pos="2493"/>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EAD" w:rsidRPr="009C4EAD" w:rsidRDefault="00EA49A9" w:rsidP="00EA49A9">
    <w:pPr>
      <w:spacing w:before="120" w:after="120" w:line="276" w:lineRule="auto"/>
    </w:pPr>
    <w:r w:rsidRPr="009C16EC">
      <w:rPr>
        <w:rFonts w:ascii="Gill Sans MT" w:hAnsi="Gill Sans MT" w:cs="Arial"/>
        <w:b/>
        <w:color w:val="000000" w:themeColor="text1"/>
        <w:sz w:val="20"/>
        <w:szCs w:val="20"/>
      </w:rPr>
      <w:t>Adapted with permission from material attributed to:</w:t>
    </w:r>
    <w:r w:rsidRPr="009C16EC">
      <w:rPr>
        <w:rFonts w:ascii="Gill Sans MT" w:hAnsi="Gill Sans MT" w:cs="Arial"/>
        <w:color w:val="000000" w:themeColor="text1"/>
        <w:sz w:val="20"/>
      </w:rPr>
      <w:t xml:space="preserve">  </w:t>
    </w:r>
    <w:r w:rsidRPr="003B66C8">
      <w:rPr>
        <w:rFonts w:ascii="Gill Sans MT" w:hAnsi="Gill Sans MT" w:cs="Arial"/>
        <w:sz w:val="20"/>
      </w:rPr>
      <w:t>The Office for the Public Sector, the Government of South Australia, Change Management Resources 2014, Sourced on 3 February 2016, http://publicsector.sa.gov.au/culture/change-management-toolkit/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8B3" w:rsidRDefault="00BC68B3" w:rsidP="001E20B5">
      <w:r>
        <w:separator/>
      </w:r>
    </w:p>
  </w:footnote>
  <w:footnote w:type="continuationSeparator" w:id="0">
    <w:p w:rsidR="00BC68B3" w:rsidRDefault="00BC68B3" w:rsidP="001E2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AFD" w:rsidRDefault="00C875CC" w:rsidP="00416DBD">
    <w:pPr>
      <w:tabs>
        <w:tab w:val="left" w:pos="4536"/>
      </w:tabs>
      <w:spacing w:before="120" w:after="240" w:line="276" w:lineRule="auto"/>
      <w:ind w:left="142"/>
      <w:rPr>
        <w:rFonts w:ascii="Gill Sans MT" w:hAnsi="Gill Sans MT" w:cs="Arial"/>
        <w:color w:val="000000" w:themeColor="text1"/>
        <w:szCs w:val="20"/>
      </w:rPr>
    </w:pPr>
    <w:r>
      <w:rPr>
        <w:rFonts w:ascii="Gill Sans MT" w:hAnsi="Gill Sans MT" w:cs="Arial"/>
        <w:color w:val="000000" w:themeColor="text1"/>
        <w:szCs w:val="20"/>
      </w:rPr>
      <w:t>3</w:t>
    </w:r>
    <w:r w:rsidR="00DF7F10">
      <w:rPr>
        <w:rFonts w:ascii="Gill Sans MT" w:hAnsi="Gill Sans MT" w:cs="Arial"/>
        <w:color w:val="000000" w:themeColor="text1"/>
        <w:szCs w:val="20"/>
      </w:rPr>
      <w:tab/>
    </w:r>
    <w:r w:rsidR="00302154">
      <w:rPr>
        <w:rFonts w:ascii="Gill Sans MT" w:hAnsi="Gill Sans MT" w:cs="Arial"/>
        <w:color w:val="000000" w:themeColor="text1"/>
        <w:szCs w:val="20"/>
      </w:rPr>
      <w:t xml:space="preserve">Measuring and </w:t>
    </w:r>
    <w:r w:rsidR="00416DBD">
      <w:rPr>
        <w:rFonts w:ascii="Gill Sans MT" w:hAnsi="Gill Sans MT" w:cs="Arial"/>
        <w:color w:val="000000" w:themeColor="text1"/>
        <w:szCs w:val="20"/>
      </w:rPr>
      <w:t xml:space="preserve">Communicating </w:t>
    </w:r>
    <w:r w:rsidR="00302154">
      <w:rPr>
        <w:rFonts w:ascii="Gill Sans MT" w:hAnsi="Gill Sans MT" w:cs="Arial"/>
        <w:color w:val="000000" w:themeColor="text1"/>
        <w:szCs w:val="20"/>
      </w:rPr>
      <w:t xml:space="preserve">the </w:t>
    </w:r>
    <w:r w:rsidR="00416DBD">
      <w:rPr>
        <w:rFonts w:ascii="Gill Sans MT" w:hAnsi="Gill Sans MT" w:cs="Arial"/>
        <w:color w:val="000000" w:themeColor="text1"/>
        <w:szCs w:val="20"/>
      </w:rPr>
      <w:t xml:space="preserve">Benefits </w:t>
    </w:r>
    <w:r w:rsidR="00302154">
      <w:rPr>
        <w:rFonts w:ascii="Gill Sans MT" w:hAnsi="Gill Sans MT" w:cs="Arial"/>
        <w:color w:val="000000" w:themeColor="text1"/>
        <w:szCs w:val="20"/>
      </w:rPr>
      <w:t xml:space="preserve">of </w:t>
    </w:r>
    <w:r w:rsidR="00416DBD">
      <w:rPr>
        <w:rFonts w:ascii="Gill Sans MT" w:hAnsi="Gill Sans MT" w:cs="Arial"/>
        <w:color w:val="000000" w:themeColor="text1"/>
        <w:szCs w:val="20"/>
      </w:rPr>
      <w:t>Change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4B6"/>
    <w:multiLevelType w:val="hybridMultilevel"/>
    <w:tmpl w:val="B0A66A14"/>
    <w:lvl w:ilvl="0" w:tplc="C9A65D2E">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8717B29"/>
    <w:multiLevelType w:val="hybridMultilevel"/>
    <w:tmpl w:val="3B629230"/>
    <w:lvl w:ilvl="0" w:tplc="C9A65D2E">
      <w:start w:val="1"/>
      <w:numFmt w:val="bullet"/>
      <w:lvlText w:val=""/>
      <w:lvlJc w:val="left"/>
      <w:pPr>
        <w:ind w:left="862" w:hanging="360"/>
      </w:pPr>
      <w:rPr>
        <w:rFonts w:ascii="Wingdings" w:hAnsi="Wingdings" w:hint="default"/>
        <w:color w:val="1F497D" w:themeColor="text2"/>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nsid w:val="0B8B13BA"/>
    <w:multiLevelType w:val="hybridMultilevel"/>
    <w:tmpl w:val="F2DA3FC8"/>
    <w:lvl w:ilvl="0" w:tplc="C9A65D2E">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E5747F3"/>
    <w:multiLevelType w:val="hybridMultilevel"/>
    <w:tmpl w:val="FA8EC4F0"/>
    <w:lvl w:ilvl="0" w:tplc="C9A65D2E">
      <w:start w:val="1"/>
      <w:numFmt w:val="bullet"/>
      <w:lvlText w:val=""/>
      <w:lvlJc w:val="left"/>
      <w:pPr>
        <w:ind w:left="786" w:hanging="360"/>
      </w:pPr>
      <w:rPr>
        <w:rFonts w:ascii="Wingdings" w:hAnsi="Wingdings" w:hint="default"/>
        <w:color w:val="1F497D" w:themeColor="text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nsid w:val="105C4A5E"/>
    <w:multiLevelType w:val="hybridMultilevel"/>
    <w:tmpl w:val="84FAC9B0"/>
    <w:lvl w:ilvl="0" w:tplc="C9A65D2E">
      <w:start w:val="1"/>
      <w:numFmt w:val="bullet"/>
      <w:lvlText w:val=""/>
      <w:lvlJc w:val="left"/>
      <w:pPr>
        <w:ind w:left="720" w:hanging="360"/>
      </w:pPr>
      <w:rPr>
        <w:rFonts w:ascii="Wingdings" w:hAnsi="Wingdings" w:hint="default"/>
        <w:color w:val="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52288A"/>
    <w:multiLevelType w:val="hybridMultilevel"/>
    <w:tmpl w:val="CA92CDB6"/>
    <w:lvl w:ilvl="0" w:tplc="C9A65D2E">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96D1426"/>
    <w:multiLevelType w:val="hybridMultilevel"/>
    <w:tmpl w:val="284EA0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CBB77DD"/>
    <w:multiLevelType w:val="hybridMultilevel"/>
    <w:tmpl w:val="610C9804"/>
    <w:lvl w:ilvl="0" w:tplc="C9A65D2E">
      <w:start w:val="1"/>
      <w:numFmt w:val="bullet"/>
      <w:lvlText w:val=""/>
      <w:lvlJc w:val="left"/>
      <w:pPr>
        <w:ind w:left="720" w:hanging="360"/>
      </w:pPr>
      <w:rPr>
        <w:rFonts w:ascii="Wingdings" w:hAnsi="Wingdings" w:hint="default"/>
        <w:color w:val="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5B50F2"/>
    <w:multiLevelType w:val="hybridMultilevel"/>
    <w:tmpl w:val="010EE5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4127E3E"/>
    <w:multiLevelType w:val="hybridMultilevel"/>
    <w:tmpl w:val="AF5AABAC"/>
    <w:lvl w:ilvl="0" w:tplc="C9A65D2E">
      <w:start w:val="1"/>
      <w:numFmt w:val="bullet"/>
      <w:lvlText w:val=""/>
      <w:lvlJc w:val="left"/>
      <w:pPr>
        <w:ind w:left="720" w:hanging="360"/>
      </w:pPr>
      <w:rPr>
        <w:rFonts w:ascii="Wingdings" w:hAnsi="Wingdings" w:hint="default"/>
        <w:color w:val="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2E135F"/>
    <w:multiLevelType w:val="hybridMultilevel"/>
    <w:tmpl w:val="0396CB1E"/>
    <w:lvl w:ilvl="0" w:tplc="C2AE09D0">
      <w:start w:val="1"/>
      <w:numFmt w:val="bullet"/>
      <w:pStyle w:val="Bullets"/>
      <w:lvlText w:val=""/>
      <w:lvlJc w:val="left"/>
      <w:pPr>
        <w:ind w:left="1418" w:hanging="284"/>
      </w:pPr>
      <w:rPr>
        <w:rFonts w:ascii="Arial Black" w:hAnsi="Arial Black" w:hint="default"/>
        <w:b/>
        <w:i w:val="0"/>
        <w:color w:val="94A545"/>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84177A"/>
    <w:multiLevelType w:val="hybridMultilevel"/>
    <w:tmpl w:val="72D24C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35EA7DDD"/>
    <w:multiLevelType w:val="hybridMultilevel"/>
    <w:tmpl w:val="C7ACC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3D1F8E"/>
    <w:multiLevelType w:val="hybridMultilevel"/>
    <w:tmpl w:val="680E75A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nsid w:val="3C622F6C"/>
    <w:multiLevelType w:val="hybridMultilevel"/>
    <w:tmpl w:val="022EEEF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nsid w:val="3CB81C4E"/>
    <w:multiLevelType w:val="hybridMultilevel"/>
    <w:tmpl w:val="A1223A4E"/>
    <w:lvl w:ilvl="0" w:tplc="7EAE3D2E">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6">
    <w:nsid w:val="58115971"/>
    <w:multiLevelType w:val="hybridMultilevel"/>
    <w:tmpl w:val="0B5657AA"/>
    <w:lvl w:ilvl="0" w:tplc="377A9EE4">
      <w:start w:val="1"/>
      <w:numFmt w:val="bullet"/>
      <w:lvlText w:val="-"/>
      <w:lvlJc w:val="left"/>
      <w:pPr>
        <w:ind w:left="360" w:hanging="360"/>
      </w:pPr>
      <w:rPr>
        <w:rFonts w:ascii="Arial Narrow" w:eastAsia="Times New Roman" w:hAnsi="Arial Narrow"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ACF5F4C"/>
    <w:multiLevelType w:val="hybridMultilevel"/>
    <w:tmpl w:val="830E5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0843C08"/>
    <w:multiLevelType w:val="hybridMultilevel"/>
    <w:tmpl w:val="7122806A"/>
    <w:lvl w:ilvl="0" w:tplc="C9A65D2E">
      <w:start w:val="1"/>
      <w:numFmt w:val="bullet"/>
      <w:lvlText w:val=""/>
      <w:lvlJc w:val="left"/>
      <w:pPr>
        <w:ind w:left="720" w:hanging="360"/>
      </w:pPr>
      <w:rPr>
        <w:rFonts w:ascii="Wingdings" w:hAnsi="Wingdings" w:hint="default"/>
        <w:color w:val="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1842D87"/>
    <w:multiLevelType w:val="hybridMultilevel"/>
    <w:tmpl w:val="69D81968"/>
    <w:lvl w:ilvl="0" w:tplc="F082315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26B3F76"/>
    <w:multiLevelType w:val="hybridMultilevel"/>
    <w:tmpl w:val="B21096E8"/>
    <w:lvl w:ilvl="0" w:tplc="C9A65D2E">
      <w:start w:val="1"/>
      <w:numFmt w:val="bullet"/>
      <w:lvlText w:val=""/>
      <w:lvlJc w:val="left"/>
      <w:pPr>
        <w:ind w:left="720" w:hanging="360"/>
      </w:pPr>
      <w:rPr>
        <w:rFonts w:ascii="Wingdings" w:hAnsi="Wingdings" w:hint="default"/>
        <w:color w:val="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2FC10E3"/>
    <w:multiLevelType w:val="hybridMultilevel"/>
    <w:tmpl w:val="AA0E7016"/>
    <w:lvl w:ilvl="0" w:tplc="9058FF22">
      <w:start w:val="1"/>
      <w:numFmt w:val="decimal"/>
      <w:pStyle w:val="Numberedlist"/>
      <w:lvlText w:val="%1."/>
      <w:lvlJc w:val="left"/>
      <w:pPr>
        <w:ind w:left="1494" w:hanging="360"/>
      </w:pPr>
      <w:rPr>
        <w:rFonts w:ascii="Gill Sans Light" w:hAnsi="Gill Sans Light" w:hint="default"/>
        <w:b w:val="0"/>
        <w:i w:val="0"/>
        <w:color w:val="94A545"/>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E62D66"/>
    <w:multiLevelType w:val="hybridMultilevel"/>
    <w:tmpl w:val="B0D2E14E"/>
    <w:lvl w:ilvl="0" w:tplc="C9A65D2E">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21"/>
  </w:num>
  <w:num w:numId="3">
    <w:abstractNumId w:val="8"/>
  </w:num>
  <w:num w:numId="4">
    <w:abstractNumId w:val="11"/>
  </w:num>
  <w:num w:numId="5">
    <w:abstractNumId w:val="2"/>
  </w:num>
  <w:num w:numId="6">
    <w:abstractNumId w:val="5"/>
  </w:num>
  <w:num w:numId="7">
    <w:abstractNumId w:val="6"/>
  </w:num>
  <w:num w:numId="8">
    <w:abstractNumId w:val="17"/>
  </w:num>
  <w:num w:numId="9">
    <w:abstractNumId w:val="14"/>
  </w:num>
  <w:num w:numId="10">
    <w:abstractNumId w:val="1"/>
  </w:num>
  <w:num w:numId="11">
    <w:abstractNumId w:val="15"/>
  </w:num>
  <w:num w:numId="12">
    <w:abstractNumId w:val="13"/>
  </w:num>
  <w:num w:numId="13">
    <w:abstractNumId w:val="3"/>
  </w:num>
  <w:num w:numId="14">
    <w:abstractNumId w:val="16"/>
  </w:num>
  <w:num w:numId="15">
    <w:abstractNumId w:val="19"/>
  </w:num>
  <w:num w:numId="16">
    <w:abstractNumId w:val="0"/>
  </w:num>
  <w:num w:numId="17">
    <w:abstractNumId w:val="22"/>
  </w:num>
  <w:num w:numId="18">
    <w:abstractNumId w:val="12"/>
  </w:num>
  <w:num w:numId="19">
    <w:abstractNumId w:val="7"/>
  </w:num>
  <w:num w:numId="20">
    <w:abstractNumId w:val="9"/>
  </w:num>
  <w:num w:numId="21">
    <w:abstractNumId w:val="20"/>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0B5"/>
    <w:rsid w:val="00014A3B"/>
    <w:rsid w:val="00021C39"/>
    <w:rsid w:val="00036D48"/>
    <w:rsid w:val="000679FF"/>
    <w:rsid w:val="000A1775"/>
    <w:rsid w:val="000B756F"/>
    <w:rsid w:val="000D275D"/>
    <w:rsid w:val="000D357A"/>
    <w:rsid w:val="000E706F"/>
    <w:rsid w:val="0015038A"/>
    <w:rsid w:val="00156E28"/>
    <w:rsid w:val="001701EE"/>
    <w:rsid w:val="001E20B5"/>
    <w:rsid w:val="002247ED"/>
    <w:rsid w:val="002559EF"/>
    <w:rsid w:val="00262F54"/>
    <w:rsid w:val="0027037B"/>
    <w:rsid w:val="00281957"/>
    <w:rsid w:val="002B3937"/>
    <w:rsid w:val="002C3698"/>
    <w:rsid w:val="00302154"/>
    <w:rsid w:val="00317549"/>
    <w:rsid w:val="00324B30"/>
    <w:rsid w:val="00331B95"/>
    <w:rsid w:val="003339C7"/>
    <w:rsid w:val="00333D63"/>
    <w:rsid w:val="003C24E3"/>
    <w:rsid w:val="00410CD2"/>
    <w:rsid w:val="00416DBD"/>
    <w:rsid w:val="00430D69"/>
    <w:rsid w:val="0049608C"/>
    <w:rsid w:val="004F16A1"/>
    <w:rsid w:val="0051607E"/>
    <w:rsid w:val="00527764"/>
    <w:rsid w:val="00536C92"/>
    <w:rsid w:val="00540405"/>
    <w:rsid w:val="00561591"/>
    <w:rsid w:val="005C146D"/>
    <w:rsid w:val="005C40F8"/>
    <w:rsid w:val="005D13D8"/>
    <w:rsid w:val="0062162A"/>
    <w:rsid w:val="006240C5"/>
    <w:rsid w:val="00644B3A"/>
    <w:rsid w:val="00655156"/>
    <w:rsid w:val="00686724"/>
    <w:rsid w:val="006A030A"/>
    <w:rsid w:val="006B77C8"/>
    <w:rsid w:val="006C60B0"/>
    <w:rsid w:val="006E7AD5"/>
    <w:rsid w:val="0074481F"/>
    <w:rsid w:val="00750C81"/>
    <w:rsid w:val="007722E8"/>
    <w:rsid w:val="00784839"/>
    <w:rsid w:val="00810C28"/>
    <w:rsid w:val="00826136"/>
    <w:rsid w:val="0085135C"/>
    <w:rsid w:val="008639D0"/>
    <w:rsid w:val="008A2E4E"/>
    <w:rsid w:val="008B07AE"/>
    <w:rsid w:val="008E1BC1"/>
    <w:rsid w:val="00935740"/>
    <w:rsid w:val="009510C0"/>
    <w:rsid w:val="009552C2"/>
    <w:rsid w:val="009C4EAD"/>
    <w:rsid w:val="009D1EC3"/>
    <w:rsid w:val="009E78CD"/>
    <w:rsid w:val="00A64471"/>
    <w:rsid w:val="00A73C92"/>
    <w:rsid w:val="00A80BB8"/>
    <w:rsid w:val="00A923D2"/>
    <w:rsid w:val="00A94407"/>
    <w:rsid w:val="00AB5B71"/>
    <w:rsid w:val="00AD1118"/>
    <w:rsid w:val="00AE1088"/>
    <w:rsid w:val="00B051EE"/>
    <w:rsid w:val="00B32754"/>
    <w:rsid w:val="00B37D7B"/>
    <w:rsid w:val="00B65D0E"/>
    <w:rsid w:val="00B94F34"/>
    <w:rsid w:val="00BC34BB"/>
    <w:rsid w:val="00BC68B3"/>
    <w:rsid w:val="00C05BC3"/>
    <w:rsid w:val="00C12019"/>
    <w:rsid w:val="00C320EB"/>
    <w:rsid w:val="00C44143"/>
    <w:rsid w:val="00C459C1"/>
    <w:rsid w:val="00C517F5"/>
    <w:rsid w:val="00C723D5"/>
    <w:rsid w:val="00C875CC"/>
    <w:rsid w:val="00CC3181"/>
    <w:rsid w:val="00CC7B11"/>
    <w:rsid w:val="00CD2AFD"/>
    <w:rsid w:val="00CE7BFE"/>
    <w:rsid w:val="00CF1C1C"/>
    <w:rsid w:val="00D1237F"/>
    <w:rsid w:val="00D24117"/>
    <w:rsid w:val="00D30A8E"/>
    <w:rsid w:val="00D47AA4"/>
    <w:rsid w:val="00D901C4"/>
    <w:rsid w:val="00D94F71"/>
    <w:rsid w:val="00DF7F10"/>
    <w:rsid w:val="00E03E40"/>
    <w:rsid w:val="00E237AE"/>
    <w:rsid w:val="00E369D3"/>
    <w:rsid w:val="00E51265"/>
    <w:rsid w:val="00E831EB"/>
    <w:rsid w:val="00E97FF8"/>
    <w:rsid w:val="00EA0567"/>
    <w:rsid w:val="00EA49A9"/>
    <w:rsid w:val="00EA5CBA"/>
    <w:rsid w:val="00EB1633"/>
    <w:rsid w:val="00EC5649"/>
    <w:rsid w:val="00F5203F"/>
    <w:rsid w:val="00F71AC4"/>
    <w:rsid w:val="00F73091"/>
    <w:rsid w:val="00F8066F"/>
    <w:rsid w:val="00F933EE"/>
    <w:rsid w:val="00FB2C57"/>
    <w:rsid w:val="00FB36A2"/>
    <w:rsid w:val="00FD27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
    <w:qFormat/>
    <w:rsid w:val="001E20B5"/>
    <w:rPr>
      <w:sz w:val="24"/>
      <w:szCs w:val="24"/>
      <w:lang w:eastAsia="en-US"/>
    </w:rPr>
  </w:style>
  <w:style w:type="paragraph" w:styleId="Heading1">
    <w:name w:val="heading 1"/>
    <w:basedOn w:val="Heading2"/>
    <w:next w:val="Normal"/>
    <w:link w:val="Heading1Char"/>
    <w:uiPriority w:val="9"/>
    <w:qFormat/>
    <w:rsid w:val="001E20B5"/>
    <w:pPr>
      <w:spacing w:before="0" w:after="0" w:line="276" w:lineRule="auto"/>
      <w:outlineLvl w:val="0"/>
    </w:pPr>
    <w:rPr>
      <w:rFonts w:ascii="Gill Sans Light" w:hAnsi="Gill Sans Light"/>
      <w:b w:val="0"/>
      <w:i w:val="0"/>
      <w:color w:val="94A545"/>
      <w:sz w:val="72"/>
    </w:rPr>
  </w:style>
  <w:style w:type="paragraph" w:styleId="Heading2">
    <w:name w:val="heading 2"/>
    <w:basedOn w:val="Normal"/>
    <w:next w:val="Normal"/>
    <w:link w:val="Heading2Char"/>
    <w:uiPriority w:val="9"/>
    <w:semiHidden/>
    <w:unhideWhenUsed/>
    <w:rsid w:val="0052776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52776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1E20B5"/>
    <w:pPr>
      <w:keepNext/>
      <w:spacing w:before="240" w:after="60" w:line="276" w:lineRule="auto"/>
      <w:outlineLvl w:val="3"/>
    </w:pPr>
    <w:rPr>
      <w:rFonts w:ascii="Gill Sans" w:hAnsi="Gill Sans"/>
      <w:bCs/>
      <w:color w:val="94A545"/>
      <w:szCs w:val="28"/>
    </w:rPr>
  </w:style>
  <w:style w:type="paragraph" w:styleId="Heading5">
    <w:name w:val="heading 5"/>
    <w:basedOn w:val="Normal"/>
    <w:next w:val="Normal"/>
    <w:link w:val="Heading5Char"/>
    <w:uiPriority w:val="9"/>
    <w:semiHidden/>
    <w:unhideWhenUsed/>
    <w:qFormat/>
    <w:rsid w:val="001E20B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0B5"/>
    <w:rPr>
      <w:rFonts w:ascii="Gill Sans Light" w:eastAsia="Times New Roman" w:hAnsi="Gill Sans Light" w:cs="Times New Roman"/>
      <w:bCs/>
      <w:iCs/>
      <w:color w:val="94A545"/>
      <w:sz w:val="72"/>
      <w:szCs w:val="28"/>
      <w:lang w:eastAsia="en-US"/>
    </w:rPr>
  </w:style>
  <w:style w:type="character" w:customStyle="1" w:styleId="Heading2Char">
    <w:name w:val="Heading 2 Char"/>
    <w:basedOn w:val="DefaultParagraphFont"/>
    <w:link w:val="Heading2"/>
    <w:uiPriority w:val="9"/>
    <w:semiHidden/>
    <w:rsid w:val="00527764"/>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527764"/>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rsid w:val="001E20B5"/>
    <w:rPr>
      <w:rFonts w:ascii="Gill Sans" w:eastAsia="Times New Roman" w:hAnsi="Gill Sans" w:cs="Times New Roman"/>
      <w:bCs/>
      <w:color w:val="94A545"/>
      <w:sz w:val="24"/>
      <w:szCs w:val="28"/>
      <w:lang w:eastAsia="en-US"/>
    </w:rPr>
  </w:style>
  <w:style w:type="character" w:customStyle="1" w:styleId="Heading5Char">
    <w:name w:val="Heading 5 Char"/>
    <w:basedOn w:val="DefaultParagraphFont"/>
    <w:link w:val="Heading5"/>
    <w:uiPriority w:val="9"/>
    <w:semiHidden/>
    <w:rsid w:val="00527764"/>
    <w:rPr>
      <w:rFonts w:ascii="Calibri" w:eastAsia="Times New Roman" w:hAnsi="Calibri" w:cs="Times New Roman"/>
      <w:b/>
      <w:bCs/>
      <w:i/>
      <w:iCs/>
      <w:sz w:val="26"/>
      <w:szCs w:val="26"/>
      <w:lang w:eastAsia="en-US"/>
    </w:rPr>
  </w:style>
  <w:style w:type="paragraph" w:styleId="TOC1">
    <w:name w:val="toc 1"/>
    <w:basedOn w:val="Normal"/>
    <w:next w:val="Normal"/>
    <w:autoRedefine/>
    <w:uiPriority w:val="39"/>
    <w:rsid w:val="00527764"/>
    <w:pPr>
      <w:spacing w:before="120"/>
    </w:pPr>
    <w:rPr>
      <w:rFonts w:ascii="Arial" w:hAnsi="Arial"/>
      <w:b/>
      <w:bCs/>
    </w:rPr>
  </w:style>
  <w:style w:type="paragraph" w:styleId="BodyText">
    <w:name w:val="Body Text"/>
    <w:basedOn w:val="Normal"/>
    <w:link w:val="BodyTextChar"/>
    <w:uiPriority w:val="99"/>
    <w:semiHidden/>
    <w:unhideWhenUsed/>
    <w:rsid w:val="00527764"/>
    <w:pPr>
      <w:spacing w:after="120"/>
    </w:pPr>
  </w:style>
  <w:style w:type="character" w:customStyle="1" w:styleId="BodyTextChar">
    <w:name w:val="Body Text Char"/>
    <w:basedOn w:val="DefaultParagraphFont"/>
    <w:link w:val="BodyText"/>
    <w:uiPriority w:val="99"/>
    <w:semiHidden/>
    <w:rsid w:val="00527764"/>
    <w:rPr>
      <w:rFonts w:ascii="GillSans Light" w:hAnsi="GillSans Light"/>
      <w:sz w:val="24"/>
      <w:szCs w:val="24"/>
      <w:lang w:eastAsia="en-US"/>
    </w:rPr>
  </w:style>
  <w:style w:type="paragraph" w:styleId="TOC2">
    <w:name w:val="toc 2"/>
    <w:basedOn w:val="Normal"/>
    <w:autoRedefine/>
    <w:uiPriority w:val="39"/>
    <w:rsid w:val="00527764"/>
    <w:pPr>
      <w:spacing w:before="120"/>
      <w:ind w:left="567"/>
    </w:pPr>
    <w:rPr>
      <w:rFonts w:ascii="Arial" w:hAnsi="Arial" w:cs="Arial"/>
      <w:iCs/>
    </w:rPr>
  </w:style>
  <w:style w:type="paragraph" w:styleId="TOC3">
    <w:name w:val="toc 3"/>
    <w:basedOn w:val="Normal"/>
    <w:next w:val="Normal"/>
    <w:autoRedefine/>
    <w:uiPriority w:val="39"/>
    <w:unhideWhenUsed/>
    <w:rsid w:val="00527764"/>
    <w:pPr>
      <w:ind w:left="480"/>
    </w:pPr>
  </w:style>
  <w:style w:type="paragraph" w:styleId="TOCHeading">
    <w:name w:val="TOC Heading"/>
    <w:basedOn w:val="Heading1"/>
    <w:next w:val="Normal"/>
    <w:uiPriority w:val="39"/>
    <w:semiHidden/>
    <w:unhideWhenUsed/>
    <w:qFormat/>
    <w:rsid w:val="00527764"/>
    <w:pPr>
      <w:spacing w:before="240" w:after="60" w:line="240" w:lineRule="auto"/>
      <w:outlineLvl w:val="9"/>
    </w:pPr>
    <w:rPr>
      <w:rFonts w:ascii="Cambria" w:hAnsi="Cambria"/>
      <w:b/>
      <w:iCs w:val="0"/>
      <w:color w:val="auto"/>
      <w:kern w:val="32"/>
      <w:sz w:val="32"/>
      <w:szCs w:val="32"/>
    </w:rPr>
  </w:style>
  <w:style w:type="paragraph" w:styleId="Header">
    <w:name w:val="header"/>
    <w:basedOn w:val="Normal"/>
    <w:link w:val="HeaderChar"/>
    <w:uiPriority w:val="99"/>
    <w:unhideWhenUsed/>
    <w:rsid w:val="001E20B5"/>
    <w:pPr>
      <w:tabs>
        <w:tab w:val="center" w:pos="4513"/>
        <w:tab w:val="right" w:pos="9026"/>
      </w:tabs>
    </w:pPr>
  </w:style>
  <w:style w:type="character" w:customStyle="1" w:styleId="HeaderChar">
    <w:name w:val="Header Char"/>
    <w:basedOn w:val="DefaultParagraphFont"/>
    <w:link w:val="Header"/>
    <w:uiPriority w:val="99"/>
    <w:rsid w:val="001E20B5"/>
    <w:rPr>
      <w:sz w:val="24"/>
      <w:szCs w:val="24"/>
      <w:lang w:eastAsia="en-US"/>
    </w:rPr>
  </w:style>
  <w:style w:type="paragraph" w:styleId="Footer">
    <w:name w:val="footer"/>
    <w:basedOn w:val="Normal"/>
    <w:link w:val="FooterChar"/>
    <w:uiPriority w:val="99"/>
    <w:unhideWhenUsed/>
    <w:rsid w:val="001E20B5"/>
    <w:pPr>
      <w:tabs>
        <w:tab w:val="center" w:pos="4513"/>
        <w:tab w:val="right" w:pos="9026"/>
      </w:tabs>
    </w:pPr>
  </w:style>
  <w:style w:type="character" w:customStyle="1" w:styleId="FooterChar">
    <w:name w:val="Footer Char"/>
    <w:basedOn w:val="DefaultParagraphFont"/>
    <w:link w:val="Footer"/>
    <w:uiPriority w:val="99"/>
    <w:rsid w:val="001E20B5"/>
    <w:rPr>
      <w:sz w:val="24"/>
      <w:szCs w:val="24"/>
      <w:lang w:eastAsia="en-US"/>
    </w:rPr>
  </w:style>
  <w:style w:type="paragraph" w:customStyle="1" w:styleId="Heading-cover">
    <w:name w:val="Heading - cover"/>
    <w:basedOn w:val="Heading1-TasGov"/>
    <w:qFormat/>
    <w:rsid w:val="00416DBD"/>
    <w:rPr>
      <w:rFonts w:ascii="Gill Sans MT" w:hAnsi="Gill Sans MT"/>
      <w:b/>
      <w:color w:val="1F497D" w:themeColor="text2"/>
      <w:sz w:val="36"/>
      <w:szCs w:val="36"/>
    </w:rPr>
  </w:style>
  <w:style w:type="paragraph" w:customStyle="1" w:styleId="Sub-heading-cover">
    <w:name w:val="Sub-heading - cover"/>
    <w:basedOn w:val="Heading2"/>
    <w:qFormat/>
    <w:rsid w:val="00416DBD"/>
    <w:pPr>
      <w:spacing w:before="0" w:after="0" w:line="276" w:lineRule="auto"/>
    </w:pPr>
    <w:rPr>
      <w:rFonts w:ascii="Gill Sans MT" w:hAnsi="Gill Sans MT"/>
      <w:b w:val="0"/>
      <w:i w:val="0"/>
      <w:color w:val="1F497D" w:themeColor="text2"/>
      <w:sz w:val="56"/>
      <w:szCs w:val="56"/>
    </w:rPr>
  </w:style>
  <w:style w:type="paragraph" w:customStyle="1" w:styleId="BodyText1">
    <w:name w:val="Body Text1"/>
    <w:basedOn w:val="Normal"/>
    <w:uiPriority w:val="1"/>
    <w:qFormat/>
    <w:rsid w:val="001E20B5"/>
    <w:pPr>
      <w:widowControl w:val="0"/>
      <w:tabs>
        <w:tab w:val="left" w:pos="4820"/>
      </w:tabs>
      <w:autoSpaceDE w:val="0"/>
      <w:autoSpaceDN w:val="0"/>
      <w:adjustRightInd w:val="0"/>
      <w:spacing w:after="120" w:line="288" w:lineRule="auto"/>
      <w:ind w:right="13"/>
      <w:textAlignment w:val="center"/>
    </w:pPr>
    <w:rPr>
      <w:rFonts w:ascii="GillSans Light" w:hAnsi="GillSans Light"/>
      <w:color w:val="000000"/>
      <w:sz w:val="28"/>
      <w:szCs w:val="28"/>
      <w:lang w:val="en-GB"/>
    </w:rPr>
  </w:style>
  <w:style w:type="paragraph" w:customStyle="1" w:styleId="Headersandfooters">
    <w:name w:val="Headers and footers"/>
    <w:basedOn w:val="Normal"/>
    <w:uiPriority w:val="2"/>
    <w:qFormat/>
    <w:rsid w:val="001E20B5"/>
    <w:pPr>
      <w:widowControl w:val="0"/>
      <w:autoSpaceDE w:val="0"/>
      <w:autoSpaceDN w:val="0"/>
      <w:adjustRightInd w:val="0"/>
      <w:spacing w:line="288" w:lineRule="auto"/>
      <w:textAlignment w:val="center"/>
    </w:pPr>
    <w:rPr>
      <w:rFonts w:ascii="GillSans Light" w:hAnsi="GillSans Light"/>
      <w:color w:val="000000"/>
      <w:spacing w:val="31"/>
      <w:sz w:val="31"/>
      <w:szCs w:val="31"/>
      <w:lang w:val="en-GB"/>
    </w:rPr>
  </w:style>
  <w:style w:type="paragraph" w:customStyle="1" w:styleId="HeadingOne">
    <w:name w:val="Heading One"/>
    <w:basedOn w:val="Heading1"/>
    <w:uiPriority w:val="3"/>
    <w:qFormat/>
    <w:rsid w:val="00E369D3"/>
    <w:pPr>
      <w:tabs>
        <w:tab w:val="left" w:pos="6521"/>
      </w:tabs>
    </w:pPr>
    <w:rPr>
      <w:rFonts w:ascii="Gill Sans MT" w:hAnsi="Gill Sans MT"/>
      <w:b/>
      <w:color w:val="1F497D" w:themeColor="text2"/>
      <w:sz w:val="36"/>
      <w:szCs w:val="36"/>
    </w:rPr>
  </w:style>
  <w:style w:type="paragraph" w:customStyle="1" w:styleId="HeadingTwo">
    <w:name w:val="Heading Two"/>
    <w:basedOn w:val="Heading2"/>
    <w:uiPriority w:val="4"/>
    <w:qFormat/>
    <w:rsid w:val="001E20B5"/>
    <w:pPr>
      <w:spacing w:after="0" w:line="276" w:lineRule="auto"/>
    </w:pPr>
    <w:rPr>
      <w:rFonts w:ascii="Gill Sans" w:hAnsi="Gill Sans"/>
      <w:i w:val="0"/>
      <w:caps/>
      <w:color w:val="5C7F92"/>
      <w:sz w:val="32"/>
      <w:szCs w:val="32"/>
    </w:rPr>
  </w:style>
  <w:style w:type="paragraph" w:customStyle="1" w:styleId="Heading1-TasGov">
    <w:name w:val="Heading 1 - Tas Gov"/>
    <w:uiPriority w:val="99"/>
    <w:qFormat/>
    <w:rsid w:val="001E20B5"/>
    <w:pPr>
      <w:widowControl w:val="0"/>
      <w:autoSpaceDE w:val="0"/>
      <w:autoSpaceDN w:val="0"/>
      <w:adjustRightInd w:val="0"/>
      <w:ind w:right="-8"/>
      <w:textAlignment w:val="center"/>
    </w:pPr>
    <w:rPr>
      <w:rFonts w:ascii="GillSans" w:hAnsi="GillSans"/>
      <w:color w:val="FFFFFF"/>
      <w:sz w:val="103"/>
      <w:szCs w:val="103"/>
      <w:lang w:eastAsia="en-US"/>
    </w:rPr>
  </w:style>
  <w:style w:type="paragraph" w:customStyle="1" w:styleId="Bullets">
    <w:name w:val="Bullets"/>
    <w:basedOn w:val="Normal"/>
    <w:uiPriority w:val="8"/>
    <w:qFormat/>
    <w:rsid w:val="001E20B5"/>
    <w:pPr>
      <w:numPr>
        <w:numId w:val="1"/>
      </w:numPr>
      <w:spacing w:after="120"/>
      <w:contextualSpacing/>
    </w:pPr>
    <w:rPr>
      <w:rFonts w:ascii="Gill Sans Light" w:eastAsia="Calibri" w:hAnsi="Gill Sans Light"/>
      <w:sz w:val="28"/>
      <w:szCs w:val="22"/>
    </w:rPr>
  </w:style>
  <w:style w:type="paragraph" w:customStyle="1" w:styleId="Numberedlist">
    <w:name w:val="Numbered list"/>
    <w:uiPriority w:val="7"/>
    <w:qFormat/>
    <w:rsid w:val="001E20B5"/>
    <w:pPr>
      <w:numPr>
        <w:numId w:val="2"/>
      </w:numPr>
      <w:spacing w:after="120"/>
    </w:pPr>
    <w:rPr>
      <w:rFonts w:ascii="Gill Sans Light" w:eastAsia="Calibri" w:hAnsi="Gill Sans Light"/>
      <w:sz w:val="28"/>
      <w:szCs w:val="28"/>
      <w:lang w:eastAsia="en-US"/>
    </w:rPr>
  </w:style>
  <w:style w:type="paragraph" w:customStyle="1" w:styleId="HeadingThree">
    <w:name w:val="Heading Three"/>
    <w:basedOn w:val="Heading3"/>
    <w:uiPriority w:val="5"/>
    <w:qFormat/>
    <w:rsid w:val="00E369D3"/>
    <w:pPr>
      <w:spacing w:line="276" w:lineRule="auto"/>
    </w:pPr>
    <w:rPr>
      <w:rFonts w:ascii="Gill Sans MT" w:hAnsi="Gill Sans MT"/>
      <w:sz w:val="24"/>
      <w:szCs w:val="24"/>
    </w:rPr>
  </w:style>
  <w:style w:type="paragraph" w:customStyle="1" w:styleId="HeadingFour">
    <w:name w:val="Heading Four"/>
    <w:basedOn w:val="Heading4"/>
    <w:uiPriority w:val="6"/>
    <w:qFormat/>
    <w:rsid w:val="001E20B5"/>
    <w:rPr>
      <w:b/>
      <w:sz w:val="28"/>
    </w:rPr>
  </w:style>
  <w:style w:type="paragraph" w:styleId="BalloonText">
    <w:name w:val="Balloon Text"/>
    <w:basedOn w:val="Normal"/>
    <w:link w:val="BalloonTextChar"/>
    <w:uiPriority w:val="99"/>
    <w:semiHidden/>
    <w:unhideWhenUsed/>
    <w:rsid w:val="00AB5B71"/>
    <w:rPr>
      <w:rFonts w:ascii="Tahoma" w:hAnsi="Tahoma" w:cs="Tahoma"/>
      <w:sz w:val="16"/>
      <w:szCs w:val="16"/>
    </w:rPr>
  </w:style>
  <w:style w:type="character" w:customStyle="1" w:styleId="BalloonTextChar">
    <w:name w:val="Balloon Text Char"/>
    <w:basedOn w:val="DefaultParagraphFont"/>
    <w:link w:val="BalloonText"/>
    <w:uiPriority w:val="99"/>
    <w:semiHidden/>
    <w:rsid w:val="00AB5B71"/>
    <w:rPr>
      <w:rFonts w:ascii="Tahoma" w:hAnsi="Tahoma" w:cs="Tahoma"/>
      <w:sz w:val="16"/>
      <w:szCs w:val="16"/>
      <w:lang w:eastAsia="en-US"/>
    </w:rPr>
  </w:style>
  <w:style w:type="table" w:styleId="TableGrid">
    <w:name w:val="Table Grid"/>
    <w:basedOn w:val="TableNormal"/>
    <w:uiPriority w:val="59"/>
    <w:rsid w:val="00E51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265"/>
    <w:pPr>
      <w:ind w:left="720"/>
      <w:contextualSpacing/>
    </w:pPr>
  </w:style>
  <w:style w:type="character" w:styleId="Emphasis">
    <w:name w:val="Emphasis"/>
    <w:basedOn w:val="DefaultParagraphFont"/>
    <w:uiPriority w:val="20"/>
    <w:qFormat/>
    <w:rsid w:val="00CD2AFD"/>
    <w:rPr>
      <w:rFonts w:ascii="Gill Sans MT" w:hAnsi="Gill Sans MT"/>
      <w:i/>
      <w:iCs/>
    </w:rPr>
  </w:style>
  <w:style w:type="character" w:styleId="Hyperlink">
    <w:name w:val="Hyperlink"/>
    <w:basedOn w:val="DefaultParagraphFont"/>
    <w:uiPriority w:val="99"/>
    <w:rsid w:val="0085135C"/>
    <w:rPr>
      <w:rFonts w:ascii="Arial" w:hAnsi="Arial"/>
      <w:color w:val="C00000"/>
      <w:u w:val="single"/>
    </w:rPr>
  </w:style>
  <w:style w:type="table" w:customStyle="1" w:styleId="DTETable1">
    <w:name w:val="DTE Table1"/>
    <w:basedOn w:val="TableNormal"/>
    <w:uiPriority w:val="99"/>
    <w:rsid w:val="0085135C"/>
    <w:rPr>
      <w:rFonts w:ascii="Calibri" w:hAnsi="Calibri"/>
      <w:sz w:val="22"/>
      <w:szCs w:val="22"/>
    </w:rPr>
    <w:tblPr>
      <w:tblStyleRowBandSize w:val="1"/>
      <w:jc w:val="center"/>
      <w:tblBorders>
        <w:insideH w:val="single" w:sz="4" w:space="0" w:color="C0504D" w:themeColor="accent2"/>
        <w:insideV w:val="single" w:sz="4" w:space="0" w:color="C0504D" w:themeColor="accent2"/>
      </w:tblBorders>
    </w:tblPr>
    <w:trPr>
      <w:cantSplit/>
      <w:jc w:val="center"/>
    </w:trPr>
    <w:tcPr>
      <w:shd w:val="clear" w:color="auto" w:fill="auto"/>
      <w:tcMar>
        <w:top w:w="57" w:type="dxa"/>
        <w:left w:w="57" w:type="dxa"/>
        <w:bottom w:w="57" w:type="dxa"/>
        <w:right w:w="57" w:type="dxa"/>
      </w:tcMar>
      <w:vAlign w:val="center"/>
    </w:tcPr>
    <w:tblStylePr w:type="firstRow">
      <w:pPr>
        <w:keepNext/>
        <w:wordWrap/>
      </w:pPr>
      <w:rPr>
        <w:b w:val="0"/>
        <w:color w:val="FFFFFF"/>
      </w:rPr>
      <w:tblPr/>
      <w:tcPr>
        <w:shd w:val="clear" w:color="auto" w:fill="C0504D" w:themeFill="accent2"/>
      </w:tcPr>
    </w:tblStylePr>
    <w:tblStylePr w:type="lastRow">
      <w:tblPr/>
      <w:tcPr>
        <w:tcBorders>
          <w:top w:val="double" w:sz="4" w:space="0" w:color="C0504D" w:themeColor="accent2"/>
        </w:tcBorders>
        <w:shd w:val="clear" w:color="auto" w:fill="auto"/>
      </w:tcPr>
    </w:tblStylePr>
    <w:tblStylePr w:type="firstCol">
      <w:rPr>
        <w:b w:val="0"/>
        <w:color w:val="FFFFFF"/>
      </w:rPr>
      <w:tblPr/>
      <w:tcPr>
        <w:shd w:val="clear" w:color="auto" w:fill="C0504D" w:themeFill="accent2"/>
      </w:tcPr>
    </w:tblStylePr>
    <w:tblStylePr w:type="lastCol">
      <w:tblPr/>
      <w:tcPr>
        <w:tcBorders>
          <w:left w:val="double" w:sz="4" w:space="0" w:color="C0504D" w:themeColor="accent2"/>
        </w:tcBorders>
        <w:shd w:val="clear" w:color="auto" w:fill="auto"/>
      </w:tcPr>
    </w:tblStylePr>
    <w:tblStylePr w:type="swCell">
      <w:tblPr/>
      <w:tcPr>
        <w:shd w:val="clear" w:color="auto" w:fill="C0504D" w:themeFill="accent2"/>
      </w:tcPr>
    </w:tblStylePr>
  </w:style>
  <w:style w:type="paragraph" w:customStyle="1" w:styleId="Footertext">
    <w:name w:val="Footer text"/>
    <w:basedOn w:val="Footer"/>
    <w:link w:val="FootertextChar"/>
    <w:autoRedefine/>
    <w:qFormat/>
    <w:rsid w:val="005D13D8"/>
    <w:pPr>
      <w:tabs>
        <w:tab w:val="clear" w:pos="4513"/>
        <w:tab w:val="clear" w:pos="9026"/>
        <w:tab w:val="center" w:pos="4320"/>
        <w:tab w:val="right" w:pos="8640"/>
      </w:tabs>
    </w:pPr>
    <w:rPr>
      <w:rFonts w:ascii="Gill Sans Light" w:eastAsia="Calibri" w:hAnsi="Gill Sans Light"/>
      <w:szCs w:val="22"/>
    </w:rPr>
  </w:style>
  <w:style w:type="character" w:customStyle="1" w:styleId="FootertextChar">
    <w:name w:val="Footer text Char"/>
    <w:basedOn w:val="FooterChar"/>
    <w:link w:val="Footertext"/>
    <w:rsid w:val="005D13D8"/>
    <w:rPr>
      <w:rFonts w:ascii="Gill Sans Light" w:eastAsia="Calibri" w:hAnsi="Gill Sans Light"/>
      <w:sz w:val="24"/>
      <w:szCs w:val="22"/>
      <w:lang w:eastAsia="en-US"/>
    </w:rPr>
  </w:style>
  <w:style w:type="paragraph" w:styleId="NormalWeb">
    <w:name w:val="Normal (Web)"/>
    <w:basedOn w:val="Normal"/>
    <w:uiPriority w:val="99"/>
    <w:unhideWhenUsed/>
    <w:rsid w:val="00FB36A2"/>
    <w:pPr>
      <w:spacing w:before="100" w:beforeAutospacing="1" w:after="100" w:afterAutospacing="1"/>
    </w:pPr>
    <w:rPr>
      <w:lang w:eastAsia="en-AU"/>
    </w:rPr>
  </w:style>
  <w:style w:type="table" w:styleId="LightList-Accent1">
    <w:name w:val="Light List Accent 1"/>
    <w:basedOn w:val="TableNormal"/>
    <w:uiPriority w:val="61"/>
    <w:rsid w:val="00FB36A2"/>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EC5649"/>
    <w:pPr>
      <w:autoSpaceDE w:val="0"/>
      <w:autoSpaceDN w:val="0"/>
      <w:adjustRightInd w:val="0"/>
    </w:pPr>
    <w:rPr>
      <w:rFonts w:ascii="Arial" w:eastAsiaTheme="minorHAnsi" w:hAnsi="Arial" w:cs="Arial"/>
      <w:color w:val="000000"/>
      <w:sz w:val="24"/>
      <w:szCs w:val="24"/>
      <w:lang w:eastAsia="en-US"/>
    </w:rPr>
  </w:style>
  <w:style w:type="table" w:styleId="MediumShading1-Accent1">
    <w:name w:val="Medium Shading 1 Accent 1"/>
    <w:basedOn w:val="TableNormal"/>
    <w:uiPriority w:val="63"/>
    <w:rsid w:val="00EC564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
    <w:qFormat/>
    <w:rsid w:val="001E20B5"/>
    <w:rPr>
      <w:sz w:val="24"/>
      <w:szCs w:val="24"/>
      <w:lang w:eastAsia="en-US"/>
    </w:rPr>
  </w:style>
  <w:style w:type="paragraph" w:styleId="Heading1">
    <w:name w:val="heading 1"/>
    <w:basedOn w:val="Heading2"/>
    <w:next w:val="Normal"/>
    <w:link w:val="Heading1Char"/>
    <w:uiPriority w:val="9"/>
    <w:qFormat/>
    <w:rsid w:val="001E20B5"/>
    <w:pPr>
      <w:spacing w:before="0" w:after="0" w:line="276" w:lineRule="auto"/>
      <w:outlineLvl w:val="0"/>
    </w:pPr>
    <w:rPr>
      <w:rFonts w:ascii="Gill Sans Light" w:hAnsi="Gill Sans Light"/>
      <w:b w:val="0"/>
      <w:i w:val="0"/>
      <w:color w:val="94A545"/>
      <w:sz w:val="72"/>
    </w:rPr>
  </w:style>
  <w:style w:type="paragraph" w:styleId="Heading2">
    <w:name w:val="heading 2"/>
    <w:basedOn w:val="Normal"/>
    <w:next w:val="Normal"/>
    <w:link w:val="Heading2Char"/>
    <w:uiPriority w:val="9"/>
    <w:semiHidden/>
    <w:unhideWhenUsed/>
    <w:rsid w:val="0052776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52776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1E20B5"/>
    <w:pPr>
      <w:keepNext/>
      <w:spacing w:before="240" w:after="60" w:line="276" w:lineRule="auto"/>
      <w:outlineLvl w:val="3"/>
    </w:pPr>
    <w:rPr>
      <w:rFonts w:ascii="Gill Sans" w:hAnsi="Gill Sans"/>
      <w:bCs/>
      <w:color w:val="94A545"/>
      <w:szCs w:val="28"/>
    </w:rPr>
  </w:style>
  <w:style w:type="paragraph" w:styleId="Heading5">
    <w:name w:val="heading 5"/>
    <w:basedOn w:val="Normal"/>
    <w:next w:val="Normal"/>
    <w:link w:val="Heading5Char"/>
    <w:uiPriority w:val="9"/>
    <w:semiHidden/>
    <w:unhideWhenUsed/>
    <w:qFormat/>
    <w:rsid w:val="001E20B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0B5"/>
    <w:rPr>
      <w:rFonts w:ascii="Gill Sans Light" w:eastAsia="Times New Roman" w:hAnsi="Gill Sans Light" w:cs="Times New Roman"/>
      <w:bCs/>
      <w:iCs/>
      <w:color w:val="94A545"/>
      <w:sz w:val="72"/>
      <w:szCs w:val="28"/>
      <w:lang w:eastAsia="en-US"/>
    </w:rPr>
  </w:style>
  <w:style w:type="character" w:customStyle="1" w:styleId="Heading2Char">
    <w:name w:val="Heading 2 Char"/>
    <w:basedOn w:val="DefaultParagraphFont"/>
    <w:link w:val="Heading2"/>
    <w:uiPriority w:val="9"/>
    <w:semiHidden/>
    <w:rsid w:val="00527764"/>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527764"/>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rsid w:val="001E20B5"/>
    <w:rPr>
      <w:rFonts w:ascii="Gill Sans" w:eastAsia="Times New Roman" w:hAnsi="Gill Sans" w:cs="Times New Roman"/>
      <w:bCs/>
      <w:color w:val="94A545"/>
      <w:sz w:val="24"/>
      <w:szCs w:val="28"/>
      <w:lang w:eastAsia="en-US"/>
    </w:rPr>
  </w:style>
  <w:style w:type="character" w:customStyle="1" w:styleId="Heading5Char">
    <w:name w:val="Heading 5 Char"/>
    <w:basedOn w:val="DefaultParagraphFont"/>
    <w:link w:val="Heading5"/>
    <w:uiPriority w:val="9"/>
    <w:semiHidden/>
    <w:rsid w:val="00527764"/>
    <w:rPr>
      <w:rFonts w:ascii="Calibri" w:eastAsia="Times New Roman" w:hAnsi="Calibri" w:cs="Times New Roman"/>
      <w:b/>
      <w:bCs/>
      <w:i/>
      <w:iCs/>
      <w:sz w:val="26"/>
      <w:szCs w:val="26"/>
      <w:lang w:eastAsia="en-US"/>
    </w:rPr>
  </w:style>
  <w:style w:type="paragraph" w:styleId="TOC1">
    <w:name w:val="toc 1"/>
    <w:basedOn w:val="Normal"/>
    <w:next w:val="Normal"/>
    <w:autoRedefine/>
    <w:uiPriority w:val="39"/>
    <w:rsid w:val="00527764"/>
    <w:pPr>
      <w:spacing w:before="120"/>
    </w:pPr>
    <w:rPr>
      <w:rFonts w:ascii="Arial" w:hAnsi="Arial"/>
      <w:b/>
      <w:bCs/>
    </w:rPr>
  </w:style>
  <w:style w:type="paragraph" w:styleId="BodyText">
    <w:name w:val="Body Text"/>
    <w:basedOn w:val="Normal"/>
    <w:link w:val="BodyTextChar"/>
    <w:uiPriority w:val="99"/>
    <w:semiHidden/>
    <w:unhideWhenUsed/>
    <w:rsid w:val="00527764"/>
    <w:pPr>
      <w:spacing w:after="120"/>
    </w:pPr>
  </w:style>
  <w:style w:type="character" w:customStyle="1" w:styleId="BodyTextChar">
    <w:name w:val="Body Text Char"/>
    <w:basedOn w:val="DefaultParagraphFont"/>
    <w:link w:val="BodyText"/>
    <w:uiPriority w:val="99"/>
    <w:semiHidden/>
    <w:rsid w:val="00527764"/>
    <w:rPr>
      <w:rFonts w:ascii="GillSans Light" w:hAnsi="GillSans Light"/>
      <w:sz w:val="24"/>
      <w:szCs w:val="24"/>
      <w:lang w:eastAsia="en-US"/>
    </w:rPr>
  </w:style>
  <w:style w:type="paragraph" w:styleId="TOC2">
    <w:name w:val="toc 2"/>
    <w:basedOn w:val="Normal"/>
    <w:autoRedefine/>
    <w:uiPriority w:val="39"/>
    <w:rsid w:val="00527764"/>
    <w:pPr>
      <w:spacing w:before="120"/>
      <w:ind w:left="567"/>
    </w:pPr>
    <w:rPr>
      <w:rFonts w:ascii="Arial" w:hAnsi="Arial" w:cs="Arial"/>
      <w:iCs/>
    </w:rPr>
  </w:style>
  <w:style w:type="paragraph" w:styleId="TOC3">
    <w:name w:val="toc 3"/>
    <w:basedOn w:val="Normal"/>
    <w:next w:val="Normal"/>
    <w:autoRedefine/>
    <w:uiPriority w:val="39"/>
    <w:unhideWhenUsed/>
    <w:rsid w:val="00527764"/>
    <w:pPr>
      <w:ind w:left="480"/>
    </w:pPr>
  </w:style>
  <w:style w:type="paragraph" w:styleId="TOCHeading">
    <w:name w:val="TOC Heading"/>
    <w:basedOn w:val="Heading1"/>
    <w:next w:val="Normal"/>
    <w:uiPriority w:val="39"/>
    <w:semiHidden/>
    <w:unhideWhenUsed/>
    <w:qFormat/>
    <w:rsid w:val="00527764"/>
    <w:pPr>
      <w:spacing w:before="240" w:after="60" w:line="240" w:lineRule="auto"/>
      <w:outlineLvl w:val="9"/>
    </w:pPr>
    <w:rPr>
      <w:rFonts w:ascii="Cambria" w:hAnsi="Cambria"/>
      <w:b/>
      <w:iCs w:val="0"/>
      <w:color w:val="auto"/>
      <w:kern w:val="32"/>
      <w:sz w:val="32"/>
      <w:szCs w:val="32"/>
    </w:rPr>
  </w:style>
  <w:style w:type="paragraph" w:styleId="Header">
    <w:name w:val="header"/>
    <w:basedOn w:val="Normal"/>
    <w:link w:val="HeaderChar"/>
    <w:uiPriority w:val="99"/>
    <w:unhideWhenUsed/>
    <w:rsid w:val="001E20B5"/>
    <w:pPr>
      <w:tabs>
        <w:tab w:val="center" w:pos="4513"/>
        <w:tab w:val="right" w:pos="9026"/>
      </w:tabs>
    </w:pPr>
  </w:style>
  <w:style w:type="character" w:customStyle="1" w:styleId="HeaderChar">
    <w:name w:val="Header Char"/>
    <w:basedOn w:val="DefaultParagraphFont"/>
    <w:link w:val="Header"/>
    <w:uiPriority w:val="99"/>
    <w:rsid w:val="001E20B5"/>
    <w:rPr>
      <w:sz w:val="24"/>
      <w:szCs w:val="24"/>
      <w:lang w:eastAsia="en-US"/>
    </w:rPr>
  </w:style>
  <w:style w:type="paragraph" w:styleId="Footer">
    <w:name w:val="footer"/>
    <w:basedOn w:val="Normal"/>
    <w:link w:val="FooterChar"/>
    <w:uiPriority w:val="99"/>
    <w:unhideWhenUsed/>
    <w:rsid w:val="001E20B5"/>
    <w:pPr>
      <w:tabs>
        <w:tab w:val="center" w:pos="4513"/>
        <w:tab w:val="right" w:pos="9026"/>
      </w:tabs>
    </w:pPr>
  </w:style>
  <w:style w:type="character" w:customStyle="1" w:styleId="FooterChar">
    <w:name w:val="Footer Char"/>
    <w:basedOn w:val="DefaultParagraphFont"/>
    <w:link w:val="Footer"/>
    <w:uiPriority w:val="99"/>
    <w:rsid w:val="001E20B5"/>
    <w:rPr>
      <w:sz w:val="24"/>
      <w:szCs w:val="24"/>
      <w:lang w:eastAsia="en-US"/>
    </w:rPr>
  </w:style>
  <w:style w:type="paragraph" w:customStyle="1" w:styleId="Heading-cover">
    <w:name w:val="Heading - cover"/>
    <w:basedOn w:val="Heading1-TasGov"/>
    <w:qFormat/>
    <w:rsid w:val="00416DBD"/>
    <w:rPr>
      <w:rFonts w:ascii="Gill Sans MT" w:hAnsi="Gill Sans MT"/>
      <w:b/>
      <w:color w:val="1F497D" w:themeColor="text2"/>
      <w:sz w:val="36"/>
      <w:szCs w:val="36"/>
    </w:rPr>
  </w:style>
  <w:style w:type="paragraph" w:customStyle="1" w:styleId="Sub-heading-cover">
    <w:name w:val="Sub-heading - cover"/>
    <w:basedOn w:val="Heading2"/>
    <w:qFormat/>
    <w:rsid w:val="00416DBD"/>
    <w:pPr>
      <w:spacing w:before="0" w:after="0" w:line="276" w:lineRule="auto"/>
    </w:pPr>
    <w:rPr>
      <w:rFonts w:ascii="Gill Sans MT" w:hAnsi="Gill Sans MT"/>
      <w:b w:val="0"/>
      <w:i w:val="0"/>
      <w:color w:val="1F497D" w:themeColor="text2"/>
      <w:sz w:val="56"/>
      <w:szCs w:val="56"/>
    </w:rPr>
  </w:style>
  <w:style w:type="paragraph" w:customStyle="1" w:styleId="BodyText1">
    <w:name w:val="Body Text1"/>
    <w:basedOn w:val="Normal"/>
    <w:uiPriority w:val="1"/>
    <w:qFormat/>
    <w:rsid w:val="001E20B5"/>
    <w:pPr>
      <w:widowControl w:val="0"/>
      <w:tabs>
        <w:tab w:val="left" w:pos="4820"/>
      </w:tabs>
      <w:autoSpaceDE w:val="0"/>
      <w:autoSpaceDN w:val="0"/>
      <w:adjustRightInd w:val="0"/>
      <w:spacing w:after="120" w:line="288" w:lineRule="auto"/>
      <w:ind w:right="13"/>
      <w:textAlignment w:val="center"/>
    </w:pPr>
    <w:rPr>
      <w:rFonts w:ascii="GillSans Light" w:hAnsi="GillSans Light"/>
      <w:color w:val="000000"/>
      <w:sz w:val="28"/>
      <w:szCs w:val="28"/>
      <w:lang w:val="en-GB"/>
    </w:rPr>
  </w:style>
  <w:style w:type="paragraph" w:customStyle="1" w:styleId="Headersandfooters">
    <w:name w:val="Headers and footers"/>
    <w:basedOn w:val="Normal"/>
    <w:uiPriority w:val="2"/>
    <w:qFormat/>
    <w:rsid w:val="001E20B5"/>
    <w:pPr>
      <w:widowControl w:val="0"/>
      <w:autoSpaceDE w:val="0"/>
      <w:autoSpaceDN w:val="0"/>
      <w:adjustRightInd w:val="0"/>
      <w:spacing w:line="288" w:lineRule="auto"/>
      <w:textAlignment w:val="center"/>
    </w:pPr>
    <w:rPr>
      <w:rFonts w:ascii="GillSans Light" w:hAnsi="GillSans Light"/>
      <w:color w:val="000000"/>
      <w:spacing w:val="31"/>
      <w:sz w:val="31"/>
      <w:szCs w:val="31"/>
      <w:lang w:val="en-GB"/>
    </w:rPr>
  </w:style>
  <w:style w:type="paragraph" w:customStyle="1" w:styleId="HeadingOne">
    <w:name w:val="Heading One"/>
    <w:basedOn w:val="Heading1"/>
    <w:uiPriority w:val="3"/>
    <w:qFormat/>
    <w:rsid w:val="00E369D3"/>
    <w:pPr>
      <w:tabs>
        <w:tab w:val="left" w:pos="6521"/>
      </w:tabs>
    </w:pPr>
    <w:rPr>
      <w:rFonts w:ascii="Gill Sans MT" w:hAnsi="Gill Sans MT"/>
      <w:b/>
      <w:color w:val="1F497D" w:themeColor="text2"/>
      <w:sz w:val="36"/>
      <w:szCs w:val="36"/>
    </w:rPr>
  </w:style>
  <w:style w:type="paragraph" w:customStyle="1" w:styleId="HeadingTwo">
    <w:name w:val="Heading Two"/>
    <w:basedOn w:val="Heading2"/>
    <w:uiPriority w:val="4"/>
    <w:qFormat/>
    <w:rsid w:val="001E20B5"/>
    <w:pPr>
      <w:spacing w:after="0" w:line="276" w:lineRule="auto"/>
    </w:pPr>
    <w:rPr>
      <w:rFonts w:ascii="Gill Sans" w:hAnsi="Gill Sans"/>
      <w:i w:val="0"/>
      <w:caps/>
      <w:color w:val="5C7F92"/>
      <w:sz w:val="32"/>
      <w:szCs w:val="32"/>
    </w:rPr>
  </w:style>
  <w:style w:type="paragraph" w:customStyle="1" w:styleId="Heading1-TasGov">
    <w:name w:val="Heading 1 - Tas Gov"/>
    <w:uiPriority w:val="99"/>
    <w:qFormat/>
    <w:rsid w:val="001E20B5"/>
    <w:pPr>
      <w:widowControl w:val="0"/>
      <w:autoSpaceDE w:val="0"/>
      <w:autoSpaceDN w:val="0"/>
      <w:adjustRightInd w:val="0"/>
      <w:ind w:right="-8"/>
      <w:textAlignment w:val="center"/>
    </w:pPr>
    <w:rPr>
      <w:rFonts w:ascii="GillSans" w:hAnsi="GillSans"/>
      <w:color w:val="FFFFFF"/>
      <w:sz w:val="103"/>
      <w:szCs w:val="103"/>
      <w:lang w:eastAsia="en-US"/>
    </w:rPr>
  </w:style>
  <w:style w:type="paragraph" w:customStyle="1" w:styleId="Bullets">
    <w:name w:val="Bullets"/>
    <w:basedOn w:val="Normal"/>
    <w:uiPriority w:val="8"/>
    <w:qFormat/>
    <w:rsid w:val="001E20B5"/>
    <w:pPr>
      <w:numPr>
        <w:numId w:val="1"/>
      </w:numPr>
      <w:spacing w:after="120"/>
      <w:contextualSpacing/>
    </w:pPr>
    <w:rPr>
      <w:rFonts w:ascii="Gill Sans Light" w:eastAsia="Calibri" w:hAnsi="Gill Sans Light"/>
      <w:sz w:val="28"/>
      <w:szCs w:val="22"/>
    </w:rPr>
  </w:style>
  <w:style w:type="paragraph" w:customStyle="1" w:styleId="Numberedlist">
    <w:name w:val="Numbered list"/>
    <w:uiPriority w:val="7"/>
    <w:qFormat/>
    <w:rsid w:val="001E20B5"/>
    <w:pPr>
      <w:numPr>
        <w:numId w:val="2"/>
      </w:numPr>
      <w:spacing w:after="120"/>
    </w:pPr>
    <w:rPr>
      <w:rFonts w:ascii="Gill Sans Light" w:eastAsia="Calibri" w:hAnsi="Gill Sans Light"/>
      <w:sz w:val="28"/>
      <w:szCs w:val="28"/>
      <w:lang w:eastAsia="en-US"/>
    </w:rPr>
  </w:style>
  <w:style w:type="paragraph" w:customStyle="1" w:styleId="HeadingThree">
    <w:name w:val="Heading Three"/>
    <w:basedOn w:val="Heading3"/>
    <w:uiPriority w:val="5"/>
    <w:qFormat/>
    <w:rsid w:val="00E369D3"/>
    <w:pPr>
      <w:spacing w:line="276" w:lineRule="auto"/>
    </w:pPr>
    <w:rPr>
      <w:rFonts w:ascii="Gill Sans MT" w:hAnsi="Gill Sans MT"/>
      <w:sz w:val="24"/>
      <w:szCs w:val="24"/>
    </w:rPr>
  </w:style>
  <w:style w:type="paragraph" w:customStyle="1" w:styleId="HeadingFour">
    <w:name w:val="Heading Four"/>
    <w:basedOn w:val="Heading4"/>
    <w:uiPriority w:val="6"/>
    <w:qFormat/>
    <w:rsid w:val="001E20B5"/>
    <w:rPr>
      <w:b/>
      <w:sz w:val="28"/>
    </w:rPr>
  </w:style>
  <w:style w:type="paragraph" w:styleId="BalloonText">
    <w:name w:val="Balloon Text"/>
    <w:basedOn w:val="Normal"/>
    <w:link w:val="BalloonTextChar"/>
    <w:uiPriority w:val="99"/>
    <w:semiHidden/>
    <w:unhideWhenUsed/>
    <w:rsid w:val="00AB5B71"/>
    <w:rPr>
      <w:rFonts w:ascii="Tahoma" w:hAnsi="Tahoma" w:cs="Tahoma"/>
      <w:sz w:val="16"/>
      <w:szCs w:val="16"/>
    </w:rPr>
  </w:style>
  <w:style w:type="character" w:customStyle="1" w:styleId="BalloonTextChar">
    <w:name w:val="Balloon Text Char"/>
    <w:basedOn w:val="DefaultParagraphFont"/>
    <w:link w:val="BalloonText"/>
    <w:uiPriority w:val="99"/>
    <w:semiHidden/>
    <w:rsid w:val="00AB5B71"/>
    <w:rPr>
      <w:rFonts w:ascii="Tahoma" w:hAnsi="Tahoma" w:cs="Tahoma"/>
      <w:sz w:val="16"/>
      <w:szCs w:val="16"/>
      <w:lang w:eastAsia="en-US"/>
    </w:rPr>
  </w:style>
  <w:style w:type="table" w:styleId="TableGrid">
    <w:name w:val="Table Grid"/>
    <w:basedOn w:val="TableNormal"/>
    <w:uiPriority w:val="59"/>
    <w:rsid w:val="00E51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265"/>
    <w:pPr>
      <w:ind w:left="720"/>
      <w:contextualSpacing/>
    </w:pPr>
  </w:style>
  <w:style w:type="character" w:styleId="Emphasis">
    <w:name w:val="Emphasis"/>
    <w:basedOn w:val="DefaultParagraphFont"/>
    <w:uiPriority w:val="20"/>
    <w:qFormat/>
    <w:rsid w:val="00CD2AFD"/>
    <w:rPr>
      <w:rFonts w:ascii="Gill Sans MT" w:hAnsi="Gill Sans MT"/>
      <w:i/>
      <w:iCs/>
    </w:rPr>
  </w:style>
  <w:style w:type="character" w:styleId="Hyperlink">
    <w:name w:val="Hyperlink"/>
    <w:basedOn w:val="DefaultParagraphFont"/>
    <w:uiPriority w:val="99"/>
    <w:rsid w:val="0085135C"/>
    <w:rPr>
      <w:rFonts w:ascii="Arial" w:hAnsi="Arial"/>
      <w:color w:val="C00000"/>
      <w:u w:val="single"/>
    </w:rPr>
  </w:style>
  <w:style w:type="table" w:customStyle="1" w:styleId="DTETable1">
    <w:name w:val="DTE Table1"/>
    <w:basedOn w:val="TableNormal"/>
    <w:uiPriority w:val="99"/>
    <w:rsid w:val="0085135C"/>
    <w:rPr>
      <w:rFonts w:ascii="Calibri" w:hAnsi="Calibri"/>
      <w:sz w:val="22"/>
      <w:szCs w:val="22"/>
    </w:rPr>
    <w:tblPr>
      <w:tblStyleRowBandSize w:val="1"/>
      <w:jc w:val="center"/>
      <w:tblBorders>
        <w:insideH w:val="single" w:sz="4" w:space="0" w:color="C0504D" w:themeColor="accent2"/>
        <w:insideV w:val="single" w:sz="4" w:space="0" w:color="C0504D" w:themeColor="accent2"/>
      </w:tblBorders>
    </w:tblPr>
    <w:trPr>
      <w:cantSplit/>
      <w:jc w:val="center"/>
    </w:trPr>
    <w:tcPr>
      <w:shd w:val="clear" w:color="auto" w:fill="auto"/>
      <w:tcMar>
        <w:top w:w="57" w:type="dxa"/>
        <w:left w:w="57" w:type="dxa"/>
        <w:bottom w:w="57" w:type="dxa"/>
        <w:right w:w="57" w:type="dxa"/>
      </w:tcMar>
      <w:vAlign w:val="center"/>
    </w:tcPr>
    <w:tblStylePr w:type="firstRow">
      <w:pPr>
        <w:keepNext/>
        <w:wordWrap/>
      </w:pPr>
      <w:rPr>
        <w:b w:val="0"/>
        <w:color w:val="FFFFFF"/>
      </w:rPr>
      <w:tblPr/>
      <w:tcPr>
        <w:shd w:val="clear" w:color="auto" w:fill="C0504D" w:themeFill="accent2"/>
      </w:tcPr>
    </w:tblStylePr>
    <w:tblStylePr w:type="lastRow">
      <w:tblPr/>
      <w:tcPr>
        <w:tcBorders>
          <w:top w:val="double" w:sz="4" w:space="0" w:color="C0504D" w:themeColor="accent2"/>
        </w:tcBorders>
        <w:shd w:val="clear" w:color="auto" w:fill="auto"/>
      </w:tcPr>
    </w:tblStylePr>
    <w:tblStylePr w:type="firstCol">
      <w:rPr>
        <w:b w:val="0"/>
        <w:color w:val="FFFFFF"/>
      </w:rPr>
      <w:tblPr/>
      <w:tcPr>
        <w:shd w:val="clear" w:color="auto" w:fill="C0504D" w:themeFill="accent2"/>
      </w:tcPr>
    </w:tblStylePr>
    <w:tblStylePr w:type="lastCol">
      <w:tblPr/>
      <w:tcPr>
        <w:tcBorders>
          <w:left w:val="double" w:sz="4" w:space="0" w:color="C0504D" w:themeColor="accent2"/>
        </w:tcBorders>
        <w:shd w:val="clear" w:color="auto" w:fill="auto"/>
      </w:tcPr>
    </w:tblStylePr>
    <w:tblStylePr w:type="swCell">
      <w:tblPr/>
      <w:tcPr>
        <w:shd w:val="clear" w:color="auto" w:fill="C0504D" w:themeFill="accent2"/>
      </w:tcPr>
    </w:tblStylePr>
  </w:style>
  <w:style w:type="paragraph" w:customStyle="1" w:styleId="Footertext">
    <w:name w:val="Footer text"/>
    <w:basedOn w:val="Footer"/>
    <w:link w:val="FootertextChar"/>
    <w:autoRedefine/>
    <w:qFormat/>
    <w:rsid w:val="005D13D8"/>
    <w:pPr>
      <w:tabs>
        <w:tab w:val="clear" w:pos="4513"/>
        <w:tab w:val="clear" w:pos="9026"/>
        <w:tab w:val="center" w:pos="4320"/>
        <w:tab w:val="right" w:pos="8640"/>
      </w:tabs>
    </w:pPr>
    <w:rPr>
      <w:rFonts w:ascii="Gill Sans Light" w:eastAsia="Calibri" w:hAnsi="Gill Sans Light"/>
      <w:szCs w:val="22"/>
    </w:rPr>
  </w:style>
  <w:style w:type="character" w:customStyle="1" w:styleId="FootertextChar">
    <w:name w:val="Footer text Char"/>
    <w:basedOn w:val="FooterChar"/>
    <w:link w:val="Footertext"/>
    <w:rsid w:val="005D13D8"/>
    <w:rPr>
      <w:rFonts w:ascii="Gill Sans Light" w:eastAsia="Calibri" w:hAnsi="Gill Sans Light"/>
      <w:sz w:val="24"/>
      <w:szCs w:val="22"/>
      <w:lang w:eastAsia="en-US"/>
    </w:rPr>
  </w:style>
  <w:style w:type="paragraph" w:styleId="NormalWeb">
    <w:name w:val="Normal (Web)"/>
    <w:basedOn w:val="Normal"/>
    <w:uiPriority w:val="99"/>
    <w:unhideWhenUsed/>
    <w:rsid w:val="00FB36A2"/>
    <w:pPr>
      <w:spacing w:before="100" w:beforeAutospacing="1" w:after="100" w:afterAutospacing="1"/>
    </w:pPr>
    <w:rPr>
      <w:lang w:eastAsia="en-AU"/>
    </w:rPr>
  </w:style>
  <w:style w:type="table" w:styleId="LightList-Accent1">
    <w:name w:val="Light List Accent 1"/>
    <w:basedOn w:val="TableNormal"/>
    <w:uiPriority w:val="61"/>
    <w:rsid w:val="00FB36A2"/>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EC5649"/>
    <w:pPr>
      <w:autoSpaceDE w:val="0"/>
      <w:autoSpaceDN w:val="0"/>
      <w:adjustRightInd w:val="0"/>
    </w:pPr>
    <w:rPr>
      <w:rFonts w:ascii="Arial" w:eastAsiaTheme="minorHAnsi" w:hAnsi="Arial" w:cs="Arial"/>
      <w:color w:val="000000"/>
      <w:sz w:val="24"/>
      <w:szCs w:val="24"/>
      <w:lang w:eastAsia="en-US"/>
    </w:rPr>
  </w:style>
  <w:style w:type="table" w:styleId="MediumShading1-Accent1">
    <w:name w:val="Medium Shading 1 Accent 1"/>
    <w:basedOn w:val="TableNormal"/>
    <w:uiPriority w:val="63"/>
    <w:rsid w:val="00EC564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106537">
      <w:bodyDiv w:val="1"/>
      <w:marLeft w:val="0"/>
      <w:marRight w:val="0"/>
      <w:marTop w:val="0"/>
      <w:marBottom w:val="0"/>
      <w:divBdr>
        <w:top w:val="none" w:sz="0" w:space="0" w:color="auto"/>
        <w:left w:val="none" w:sz="0" w:space="0" w:color="auto"/>
        <w:bottom w:val="none" w:sz="0" w:space="0" w:color="auto"/>
        <w:right w:val="none" w:sz="0" w:space="0" w:color="auto"/>
      </w:divBdr>
    </w:div>
    <w:div w:id="1914700587">
      <w:bodyDiv w:val="1"/>
      <w:marLeft w:val="0"/>
      <w:marRight w:val="0"/>
      <w:marTop w:val="0"/>
      <w:marBottom w:val="0"/>
      <w:divBdr>
        <w:top w:val="none" w:sz="0" w:space="0" w:color="auto"/>
        <w:left w:val="none" w:sz="0" w:space="0" w:color="auto"/>
        <w:bottom w:val="none" w:sz="0" w:space="0" w:color="auto"/>
        <w:right w:val="none" w:sz="0" w:space="0" w:color="auto"/>
      </w:divBdr>
      <w:divsChild>
        <w:div w:id="2062367187">
          <w:marLeft w:val="0"/>
          <w:marRight w:val="0"/>
          <w:marTop w:val="0"/>
          <w:marBottom w:val="0"/>
          <w:divBdr>
            <w:top w:val="none" w:sz="0" w:space="0" w:color="auto"/>
            <w:left w:val="none" w:sz="0" w:space="0" w:color="auto"/>
            <w:bottom w:val="none" w:sz="0" w:space="0" w:color="auto"/>
            <w:right w:val="none" w:sz="0" w:space="0" w:color="auto"/>
          </w:divBdr>
          <w:divsChild>
            <w:div w:id="940063851">
              <w:marLeft w:val="0"/>
              <w:marRight w:val="0"/>
              <w:marTop w:val="225"/>
              <w:marBottom w:val="0"/>
              <w:divBdr>
                <w:top w:val="single" w:sz="6" w:space="8" w:color="ECECEC"/>
                <w:left w:val="single" w:sz="6" w:space="15" w:color="ECECEC"/>
                <w:bottom w:val="single" w:sz="6" w:space="0" w:color="ECECEC"/>
                <w:right w:val="single" w:sz="6" w:space="4" w:color="ECECEC"/>
              </w:divBdr>
              <w:divsChild>
                <w:div w:id="9306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D1334-9A26-49E2-B68F-9F396AF19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Measuring and Communicating the Benefits of Change</dc:title>
  <dc:creator>amy.breen</dc:creator>
  <cp:lastModifiedBy>Molhuysen, Jodi</cp:lastModifiedBy>
  <cp:revision>41</cp:revision>
  <cp:lastPrinted>2016-02-16T02:17:00Z</cp:lastPrinted>
  <dcterms:created xsi:type="dcterms:W3CDTF">2016-02-16T02:44:00Z</dcterms:created>
  <dcterms:modified xsi:type="dcterms:W3CDTF">2016-03-23T00:27:00Z</dcterms:modified>
</cp:coreProperties>
</file>